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ntsk-20260731.htm"/>
        <w:bookmarkStart w:id="1" w:name="ksntsk20260731"/>
        <w:bookmarkEnd w:id="0"/>
        <w:bookmarkEnd w:id="1"/>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pBdr>
          <w:top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July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001-42848</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Netskope,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067" w:type="dxa"/>
        <w:jc w:val="left"/>
        <w:tblInd w:w="0" w:type="dxa"/>
        <w:tblLayout w:type="fixed"/>
        <w:tblCellMar>
          <w:top w:w="28" w:type="dxa"/>
          <w:left w:w="28" w:type="dxa"/>
          <w:bottom w:w="28" w:type="dxa"/>
          <w:right w:w="28" w:type="dxa"/>
        </w:tblCellMar>
      </w:tblPr>
      <w:tblGrid>
        <w:gridCol w:w="2821"/>
        <w:gridCol w:w="1246"/>
      </w:tblGrid>
      <w:tr>
        <w:trPr/>
        <w:tc>
          <w:tcPr>
            <w:tcW w:w="282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46-1141117</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82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2445 Augustine Drive, Suite 301</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Santa Clara,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95054</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(800) 979-6988</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rPr/>
      </w:pPr>
      <w:r>
        <w:rPr/>
        <w:t> </w:t>
      </w:r>
    </w:p>
    <w:tbl>
      <w:tblPr>
        <w:tblW w:w="7645" w:type="dxa"/>
        <w:jc w:val="left"/>
        <w:tblInd w:w="0" w:type="dxa"/>
        <w:tblLayout w:type="fixed"/>
        <w:tblCellMar>
          <w:top w:w="28" w:type="dxa"/>
          <w:left w:w="28" w:type="dxa"/>
          <w:bottom w:w="28" w:type="dxa"/>
          <w:right w:w="28" w:type="dxa"/>
        </w:tblCellMar>
      </w:tblPr>
      <w:tblGrid>
        <w:gridCol w:w="3211"/>
        <w:gridCol w:w="146"/>
        <w:gridCol w:w="826"/>
        <w:gridCol w:w="146"/>
        <w:gridCol w:w="331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A 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NTSK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As of August 25, 2026, the registrant had outstanding 267,134,729 shares of Class A common stock, 141,453,019 shares of Class B common stock, and no shares of Class C common stock.</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w:t>
      </w:r>
      <w:r>
        <w:rPr>
          <w:rFonts w:ascii="Times New Roman" w:hAnsi="Times New Roman"/>
          <w:color w:val="000000"/>
          <w:sz w:val="20"/>
        </w:rPr>
        <w:t xml:space="preserve"> </w:t>
      </w:r>
      <w:r>
        <w:rPr>
          <w:rFonts w:ascii="Times New Roman" w:hAnsi="Times New Roman"/>
          <w:b/>
          <w:color w:val="000000"/>
          <w:sz w:val="20"/>
        </w:rPr>
        <w:t>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come_statement">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se">
              <w:r>
                <w:rPr>
                  <w:rStyle w:val="InternetLink"/>
                  <w:rFonts w:ascii="Times New Roman" w:hAnsi="Times New Roman"/>
                  <w:color w:val="0000FF"/>
                  <w:sz w:val="20"/>
                  <w:u w:val="single"/>
                </w:rPr>
                <w:t>Condensed Consolidated Statements of Changes in Stockholders' Equity (Deficit)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flow">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page_footnote">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operating results and financial condition, our business strategy and plans, market growth, and our objectives for future operations, are forward-looking statements. In some cases, you can identify forward-looking statements because they contain words such as “believe,” “may,” “will,” “potentially,” “estimate,” “continue,” “anticipate,” “intend,” “could,” “would,” “project,” “target,” “plan,” “expect,” and similar expressions. These forward-looking statements contained in this Quarterly Report on Form 10-Q include, but are not limited to, statements about: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future financial performance, including our expectations regarding our revenue, cost of revenue, gross profit or gross margin, operating expenses, including changes in operating expenses, and our ability to achieve and maintain profitability;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business plan and our ability to effectively manage our growth;</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total market opportunity;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anticipated trends, growth rates, and challenges in our business and in the markets in which we operate, particularly as a result of artificial intelligence technologies;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adoption of our platform;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beliefs and objectives for future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attract new customers and successfully retain, and increase adoption of our platform and offerings by, existing customers;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develop and introduce new products, including artificial intelligence and machine learning capabilities, and bring them to market in a timely manner;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concerning relationships with third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maintain, protect, and enhance our intellectual property rights;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expand internationally;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effects of increased competition in our markets and our ability to compete effectively;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restructuring actions taken to improve operational efficiencies and operating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identify, recruit, hire, train, retain, and effectively ramp skilled personnel, including sales representatives and key members of senior management;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future acquisitions or investments in complementary companies, products, technologies, or services;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stay in compliance with laws and regulations that currently apply, or may become applicable to, our business both in the United States and internationally;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maintain the security and availability of our platform and protect against data breaches and other security incidents;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economic and industry trends, projected growth, or trend analysis;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general economic conditions in the United States and globally, including the effects of changes in tariffs or trade restrictions, global geopolitical conflicts, inflation, interest rates, any instability in the global banking sector, and foreign currency exchange rates;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operate and grow our business in light of macroeconomic uncertainty;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increased expenses associated with being a public company;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other statements regarding our future operations, financial condition, and prospects and business strategies.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contained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the forward-looking statements contained in this Quarterly Report on Form 10-Q primarily on our current expectations and projections about future events and trends that we believe may affect our business, financial condition and operating results. These forward-looking statements are subject to a number of risks, uncertainties, and assumptions, including those described in the section titled “Risk Factors” and elsewhere in this Quarterly Report on Form 10-Q. Moreover, we operate in a very competitive and rapidly changing environment, and new risks emerge from time to time. It is not possible for us to predict all risks, uncertainties,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assumptions that could have an impact on the forward-looking statements contained in this Quarterly Report on Form 10-Q.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Quarterly Report on Form 10-Q or to conform these statements to actual results or to changes in our expectations, except as required by law. We may not actually achieve the plans, intentions, or expectations disclosed in our forward-looking statements and you should not place undue reliance on our forward-looking statements. These forward-looking statements do not reflect the potential impact of any future acquisitions, restructurings, mergers, dispositions, joint ventures, partnerships, or investments we may make.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While we believe such information provides a reasonable basis for these statements, such information may be limited or incomplete. Such statements should not be read to indicate that we have conducted an exhaustive inquiry into, or review of, all potentially available relevant information. These statements are inherently uncertain, and investors are cautioned not to unduly rely on these statements.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120" w:after="283"/>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Netskope, Inc.</w:t>
      </w:r>
    </w:p>
    <w:p>
      <w:pPr>
        <w:pStyle w:val="TextBody"/>
        <w:bidi w:val="0"/>
        <w:spacing w:before="40" w:after="283"/>
        <w:jc w:val="center"/>
        <w:rPr>
          <w:rFonts w:ascii="Times New Roman" w:hAnsi="Times New Roman"/>
          <w:b/>
          <w:smallCaps/>
          <w:color w:val="000000"/>
          <w:sz w:val="20"/>
        </w:rPr>
      </w:pPr>
      <w:bookmarkStart w:id="5" w:name="balance_sheets"/>
      <w:bookmarkEnd w:id="5"/>
      <w:r>
        <w:rPr>
          <w:rFonts w:ascii="Times New Roman" w:hAnsi="Times New Roman"/>
          <w:b/>
          <w:smallCaps/>
          <w:color w:val="000000"/>
          <w:sz w:val="20"/>
        </w:rPr>
        <w:t>Condensed Consolidated Balance Sheets</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118"/>
        <w:gridCol w:w="196"/>
        <w:gridCol w:w="886"/>
        <w:gridCol w:w="166"/>
        <w:gridCol w:w="146"/>
        <w:gridCol w:w="196"/>
        <w:gridCol w:w="886"/>
        <w:gridCol w:w="611"/>
      </w:tblGrid>
      <w:tr>
        <w:trPr/>
        <w:tc>
          <w:tcPr>
            <w:tcW w:w="71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July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January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432,583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Marketable securities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846,509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725,603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158,278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contract acquisition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current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1,386,285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1,448,967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93,876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32,096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Intangible assets,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Goodwill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61,083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contract acquisition costs, noncurrent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100,798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assets, noncurrent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assets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1,712,214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1,772,292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Stockholders’ Equity</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compensation and benefits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99,880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546,462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532,732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 current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expenses and other current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current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689,351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681,532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revenue, noncurrent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143,126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Convertible notes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698,116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720,960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liabilities, noncurrent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23,424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liabilities, noncurrent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1,555,428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1,577,761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 (Note 7)</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Preferred stock, $0.0001 par value; 300,000,000 shares authorized as of July 31, 2026 and January 31, 2026; </w:t>
              <w:br/>
              <w:t>    no shares issued and outstanding as of July 31, 2026 and January 31, 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Class A common stock, $0.0001 par value; 3,000,000,000 shares authorized as of July 31, 2026 and </w:t>
              <w:br/>
              <w:t xml:space="preserve">    January 31, 2026; 265,409,308 shares issued and outstanding as of July 31, 2026 and 142,269,483 shares </w:t>
              <w:br/>
              <w:t>    issued and outstanding as of January 31, 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Class B common stock, $0.0001 par value; 600,000,000 shares authorized as of July 31, 2026 and </w:t>
              <w:br/>
              <w:t>    January 31, 2026; 142,581,448 issued, and 142,555,841 outstanding as of July 31, 2026; 256,138,777 </w:t>
              <w:br/>
              <w:t>    issued, and 256,113,170 outstanding as of January 31, 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Class C common stock, $0.0001 par value; 1,000,000,000 shares authorized as of July 31, 2026 and </w:t>
              <w:br/>
              <w:t>    January 31, 2026; no shares issued and outstanding as of July 31, 2026 and January 31, 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Additional paid-in capital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2,888,202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Accumulated other comprehensive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(64,811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Accumulated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(2,856,213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(2,628,900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71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stockholders’ equity</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194,531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Total liabilities and stockholders’ equity</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1,712,214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1,772,292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18"/>
        </w:rPr>
      </w:pPr>
      <w:r>
        <w:rPr>
          <w:rFonts w:ascii="Times New Roman" w:hAnsi="Times New Roman"/>
          <w:i/>
          <w:color w:val="000000"/>
          <w:sz w:val="18"/>
        </w:rPr>
        <w:t>The accompanying notes are an integral part of these condensed consolidated financial statements</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40" w:after="283"/>
        <w:jc w:val="center"/>
        <w:rPr>
          <w:rFonts w:ascii="Times New Roman" w:hAnsi="Times New Roman"/>
          <w:b/>
          <w:smallCaps/>
          <w:color w:val="000000"/>
          <w:sz w:val="20"/>
        </w:rPr>
      </w:pPr>
      <w:r>
        <w:rPr>
          <w:rFonts w:ascii="Times New Roman" w:hAnsi="Times New Roman"/>
          <w:b/>
          <w:smallCaps/>
          <w:color w:val="000000"/>
          <w:sz w:val="20"/>
        </w:rPr>
        <w:t>Netskope, Inc.</w:t>
      </w:r>
    </w:p>
    <w:p>
      <w:pPr>
        <w:pStyle w:val="TextBody"/>
        <w:bidi w:val="0"/>
        <w:spacing w:before="40" w:after="283"/>
        <w:jc w:val="center"/>
        <w:rPr>
          <w:rFonts w:ascii="Times New Roman" w:hAnsi="Times New Roman"/>
          <w:sz w:val="20"/>
        </w:rPr>
      </w:pPr>
      <w:bookmarkStart w:id="6" w:name="income_statement"/>
      <w:bookmarkEnd w:id="6"/>
      <w:r>
        <w:rPr>
          <w:rFonts w:ascii="Times New Roman" w:hAnsi="Times New Roman"/>
          <w:b/>
          <w:smallCaps/>
          <w:color w:val="000000"/>
          <w:sz w:val="20"/>
        </w:rPr>
        <w:t>Condensed Consolidated</w:t>
      </w:r>
      <w:r>
        <w:rPr>
          <w:rFonts w:ascii="Times New Roman" w:hAnsi="Times New Roman"/>
          <w:smallCaps/>
          <w:color w:val="000000"/>
          <w:sz w:val="20"/>
        </w:rPr>
        <w:t xml:space="preserve"> </w:t>
      </w:r>
      <w:r>
        <w:rPr>
          <w:rFonts w:ascii="Times New Roman" w:hAnsi="Times New Roman"/>
          <w:b/>
          <w:smallCaps/>
          <w:color w:val="000000"/>
          <w:sz w:val="20"/>
        </w:rPr>
        <w:t>Statements of Operations</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104"/>
        <w:gridCol w:w="146"/>
        <w:gridCol w:w="196"/>
        <w:gridCol w:w="1006"/>
        <w:gridCol w:w="166"/>
        <w:gridCol w:w="146"/>
        <w:gridCol w:w="196"/>
        <w:gridCol w:w="1006"/>
        <w:gridCol w:w="166"/>
        <w:gridCol w:w="146"/>
        <w:gridCol w:w="196"/>
        <w:gridCol w:w="1006"/>
        <w:gridCol w:w="166"/>
        <w:gridCol w:w="146"/>
        <w:gridCol w:w="196"/>
        <w:gridCol w:w="1006"/>
        <w:gridCol w:w="211"/>
      </w:tblGrid>
      <w:tr>
        <w:trPr/>
        <w:tc>
          <w:tcPr>
            <w:tcW w:w="4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232,757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324,080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Loss on changes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Weighted-average shares used in computing net loss per share </w:t>
              <w:br/>
              <w:t>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405,045,835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108,096,178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402,802,925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106,429,655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are an integral part of these condensed consolidated financial statements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40" w:after="283"/>
        <w:jc w:val="center"/>
        <w:rPr>
          <w:rFonts w:ascii="Times New Roman" w:hAnsi="Times New Roman"/>
          <w:b/>
          <w:smallCaps/>
          <w:color w:val="000000"/>
          <w:sz w:val="20"/>
        </w:rPr>
      </w:pPr>
      <w:r>
        <w:rPr>
          <w:rFonts w:ascii="Times New Roman" w:hAnsi="Times New Roman"/>
          <w:b/>
          <w:smallCaps/>
          <w:color w:val="000000"/>
          <w:sz w:val="20"/>
        </w:rPr>
        <w:t>Netskope, Inc.</w:t>
      </w:r>
    </w:p>
    <w:p>
      <w:pPr>
        <w:pStyle w:val="TextBody"/>
        <w:bidi w:val="0"/>
        <w:spacing w:before="40" w:after="283"/>
        <w:jc w:val="center"/>
        <w:rPr>
          <w:rFonts w:ascii="Times New Roman" w:hAnsi="Times New Roman"/>
          <w:b/>
          <w:smallCaps/>
          <w:color w:val="000000"/>
          <w:sz w:val="20"/>
        </w:rPr>
      </w:pPr>
      <w:bookmarkStart w:id="7" w:name="comprehensive_loss"/>
      <w:bookmarkEnd w:id="7"/>
      <w:r>
        <w:rPr>
          <w:rFonts w:ascii="Times New Roman" w:hAnsi="Times New Roman"/>
          <w:b/>
          <w:smallCaps/>
          <w:color w:val="000000"/>
          <w:sz w:val="20"/>
        </w:rPr>
        <w:t>Condensed Consolidated Statements of Comprehensive Loss</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(in thousands)</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9574" w:type="dxa"/>
        <w:jc w:val="left"/>
        <w:tblInd w:w="0" w:type="dxa"/>
        <w:tblLayout w:type="fixed"/>
        <w:tblCellMar>
          <w:top w:w="28" w:type="dxa"/>
          <w:left w:w="28" w:type="dxa"/>
          <w:bottom w:w="28" w:type="dxa"/>
          <w:right w:w="28" w:type="dxa"/>
        </w:tblCellMar>
      </w:tblPr>
      <w:tblGrid>
        <w:gridCol w:w="4101"/>
        <w:gridCol w:w="146"/>
        <w:gridCol w:w="213"/>
        <w:gridCol w:w="817"/>
        <w:gridCol w:w="180"/>
        <w:gridCol w:w="158"/>
        <w:gridCol w:w="213"/>
        <w:gridCol w:w="817"/>
        <w:gridCol w:w="166"/>
        <w:gridCol w:w="146"/>
        <w:gridCol w:w="196"/>
        <w:gridCol w:w="751"/>
        <w:gridCol w:w="166"/>
        <w:gridCol w:w="146"/>
        <w:gridCol w:w="196"/>
        <w:gridCol w:w="751"/>
        <w:gridCol w:w="41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July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(110,817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marketable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(loss) on convertible notes,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41,733</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38,373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(72,444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(165,886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are an integral part of these condensed consolidated financial statements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40" w:after="283"/>
        <w:jc w:val="center"/>
        <w:rPr>
          <w:rFonts w:ascii="Times New Roman" w:hAnsi="Times New Roman"/>
          <w:b/>
          <w:smallCaps/>
          <w:color w:val="000000"/>
          <w:sz w:val="18"/>
        </w:rPr>
      </w:pPr>
      <w:bookmarkStart w:id="8" w:name="sse"/>
      <w:bookmarkEnd w:id="8"/>
      <w:r>
        <w:rPr>
          <w:rFonts w:ascii="Times New Roman" w:hAnsi="Times New Roman"/>
          <w:b/>
          <w:smallCaps/>
          <w:color w:val="000000"/>
          <w:sz w:val="18"/>
        </w:rPr>
        <w:t>Netskope, Inc.</w:t>
      </w:r>
    </w:p>
    <w:p>
      <w:pPr>
        <w:pStyle w:val="TextBody"/>
        <w:bidi w:val="0"/>
        <w:spacing w:before="40" w:after="283"/>
        <w:jc w:val="center"/>
        <w:rPr>
          <w:rFonts w:ascii="Times New Roman" w:hAnsi="Times New Roman"/>
          <w:b/>
          <w:smallCaps/>
          <w:color w:val="000000"/>
          <w:sz w:val="18"/>
        </w:rPr>
      </w:pPr>
      <w:r>
        <w:rPr>
          <w:rFonts w:ascii="Times New Roman" w:hAnsi="Times New Roman"/>
          <w:b/>
          <w:smallCaps/>
          <w:color w:val="000000"/>
          <w:sz w:val="18"/>
        </w:rPr>
        <w:t>Condensed Consolidated Statements of Changes in Stockholders' Equity (Deficit)</w:t>
      </w:r>
    </w:p>
    <w:p>
      <w:pPr>
        <w:pStyle w:val="TextBody"/>
        <w:bidi w:val="0"/>
        <w:spacing w:before="40" w:after="283"/>
        <w:jc w:val="center"/>
        <w:rPr>
          <w:rFonts w:ascii="Times New Roman" w:hAnsi="Times New Roman"/>
          <w:sz w:val="18"/>
        </w:rPr>
      </w:pPr>
      <w:r>
        <w:rPr>
          <w:rFonts w:ascii="Times New Roman" w:hAnsi="Times New Roman"/>
          <w:i/>
          <w:color w:val="000000"/>
          <w:sz w:val="18"/>
        </w:rPr>
        <w:t>(in thousands</w:t>
      </w:r>
      <w:r>
        <w:rPr>
          <w:rFonts w:ascii="Times New Roman" w:hAnsi="Times New Roman"/>
          <w:b/>
          <w:i/>
          <w:color w:val="000000"/>
          <w:sz w:val="18"/>
        </w:rPr>
        <w:t>,</w:t>
      </w:r>
      <w:r>
        <w:rPr>
          <w:rFonts w:ascii="Times New Roman" w:hAnsi="Times New Roman"/>
          <w:color w:val="000000"/>
          <w:sz w:val="18"/>
        </w:rPr>
        <w:t xml:space="preserve"> </w:t>
      </w:r>
      <w:r>
        <w:rPr>
          <w:rFonts w:ascii="Times New Roman" w:hAnsi="Times New Roman"/>
          <w:i/>
          <w:color w:val="000000"/>
          <w:sz w:val="18"/>
        </w:rPr>
        <w:t>except share amounts)</w:t>
      </w:r>
    </w:p>
    <w:p>
      <w:pPr>
        <w:pStyle w:val="TextBody"/>
        <w:bidi w:val="0"/>
        <w:spacing w:before="40" w:after="283"/>
        <w:jc w:val="center"/>
        <w:rPr>
          <w:rFonts w:ascii="Times New Roman" w:hAnsi="Times New Roman"/>
          <w:i/>
          <w:color w:val="000000"/>
          <w:sz w:val="18"/>
        </w:rPr>
      </w:pPr>
      <w:r>
        <w:rPr>
          <w:rFonts w:ascii="Times New Roman" w:hAnsi="Times New Roman"/>
          <w:i/>
          <w:color w:val="000000"/>
          <w:sz w:val="18"/>
        </w:rPr>
        <w:t>(unaudited)</w:t>
      </w:r>
    </w:p>
    <w:tbl>
      <w:tblPr>
        <w:tblW w:w="11128" w:type="dxa"/>
        <w:jc w:val="left"/>
        <w:tblInd w:w="0" w:type="dxa"/>
        <w:tblLayout w:type="fixed"/>
        <w:tblCellMar>
          <w:top w:w="28" w:type="dxa"/>
          <w:left w:w="28" w:type="dxa"/>
          <w:bottom w:w="28" w:type="dxa"/>
          <w:right w:w="28" w:type="dxa"/>
        </w:tblCellMar>
      </w:tblPr>
      <w:tblGrid>
        <w:gridCol w:w="1171"/>
        <w:gridCol w:w="146"/>
        <w:gridCol w:w="274"/>
        <w:gridCol w:w="312"/>
        <w:gridCol w:w="146"/>
        <w:gridCol w:w="146"/>
        <w:gridCol w:w="374"/>
        <w:gridCol w:w="317"/>
        <w:gridCol w:w="146"/>
        <w:gridCol w:w="146"/>
        <w:gridCol w:w="146"/>
        <w:gridCol w:w="1006"/>
        <w:gridCol w:w="166"/>
        <w:gridCol w:w="146"/>
        <w:gridCol w:w="280"/>
        <w:gridCol w:w="411"/>
        <w:gridCol w:w="146"/>
        <w:gridCol w:w="146"/>
        <w:gridCol w:w="196"/>
        <w:gridCol w:w="826"/>
        <w:gridCol w:w="166"/>
        <w:gridCol w:w="146"/>
        <w:gridCol w:w="278"/>
        <w:gridCol w:w="938"/>
        <w:gridCol w:w="166"/>
        <w:gridCol w:w="146"/>
        <w:gridCol w:w="196"/>
        <w:gridCol w:w="886"/>
        <w:gridCol w:w="166"/>
        <w:gridCol w:w="146"/>
        <w:gridCol w:w="214"/>
        <w:gridCol w:w="822"/>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398,382,653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2,888,202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upon exercise of </w:t>
              <w:br/>
              <w:t>   stock options and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5,673,953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under employee stock </w:t>
              <w:br/>
              <w:t>   purchase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Net shares withheld to cover taxes upon vesting of </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403,632,437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2,967,830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(2,745,396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upon exercise of </w:t>
              <w:br/>
              <w:t>   stock options and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6,050,760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Net shares withheld to cover taxes upon vesting of </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407,965,149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3,021,543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(2,856,213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156,786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1850" w:type="dxa"/>
        <w:jc w:val="left"/>
        <w:tblInd w:w="0" w:type="dxa"/>
        <w:tblLayout w:type="fixed"/>
        <w:tblCellMar>
          <w:top w:w="28" w:type="dxa"/>
          <w:left w:w="28" w:type="dxa"/>
          <w:bottom w:w="28" w:type="dxa"/>
          <w:right w:w="28" w:type="dxa"/>
        </w:tblCellMar>
      </w:tblPr>
      <w:tblGrid>
        <w:gridCol w:w="1171"/>
        <w:gridCol w:w="146"/>
        <w:gridCol w:w="146"/>
        <w:gridCol w:w="1006"/>
        <w:gridCol w:w="146"/>
        <w:gridCol w:w="146"/>
        <w:gridCol w:w="196"/>
        <w:gridCol w:w="826"/>
        <w:gridCol w:w="146"/>
        <w:gridCol w:w="146"/>
        <w:gridCol w:w="146"/>
        <w:gridCol w:w="1006"/>
        <w:gridCol w:w="146"/>
        <w:gridCol w:w="146"/>
        <w:gridCol w:w="280"/>
        <w:gridCol w:w="411"/>
        <w:gridCol w:w="146"/>
        <w:gridCol w:w="146"/>
        <w:gridCol w:w="196"/>
        <w:gridCol w:w="691"/>
        <w:gridCol w:w="146"/>
        <w:gridCol w:w="146"/>
        <w:gridCol w:w="278"/>
        <w:gridCol w:w="938"/>
        <w:gridCol w:w="166"/>
        <w:gridCol w:w="146"/>
        <w:gridCol w:w="196"/>
        <w:gridCol w:w="886"/>
        <w:gridCol w:w="166"/>
        <w:gridCol w:w="146"/>
        <w:gridCol w:w="214"/>
        <w:gridCol w:w="822"/>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218,897,608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104,589,784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(1,949,512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(485,589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employee early exercised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218,897,608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106,058,869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(526,495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3,257,610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employee early exercised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218,897,608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109,316,479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(612,079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center"/>
        <w:rPr>
          <w:rFonts w:ascii="Times New Roman" w:hAnsi="Times New Roman"/>
          <w:i/>
          <w:color w:val="000000"/>
          <w:sz w:val="16"/>
        </w:rPr>
      </w:pPr>
      <w:r>
        <w:rPr>
          <w:rFonts w:ascii="Times New Roman" w:hAnsi="Times New Roman"/>
          <w:i/>
          <w:color w:val="000000"/>
          <w:sz w:val="16"/>
        </w:rPr>
        <w:t>The accompanying notes are an integral part of these condensed consolidated financial statements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40" w:after="283"/>
        <w:jc w:val="center"/>
        <w:rPr>
          <w:rFonts w:ascii="Times New Roman" w:hAnsi="Times New Roman"/>
          <w:b/>
          <w:smallCaps/>
          <w:color w:val="000000"/>
          <w:sz w:val="18"/>
        </w:rPr>
      </w:pPr>
      <w:r>
        <w:rPr>
          <w:rFonts w:ascii="Times New Roman" w:hAnsi="Times New Roman"/>
          <w:b/>
          <w:smallCaps/>
          <w:color w:val="000000"/>
          <w:sz w:val="18"/>
        </w:rPr>
        <w:t>Netskope, Inc.</w:t>
      </w:r>
    </w:p>
    <w:p>
      <w:pPr>
        <w:pStyle w:val="TextBody"/>
        <w:bidi w:val="0"/>
        <w:spacing w:before="40" w:after="283"/>
        <w:jc w:val="center"/>
        <w:rPr>
          <w:rFonts w:ascii="Times New Roman" w:hAnsi="Times New Roman"/>
          <w:b/>
          <w:smallCaps/>
          <w:color w:val="000000"/>
          <w:sz w:val="18"/>
        </w:rPr>
      </w:pPr>
      <w:bookmarkStart w:id="9" w:name="cashflow"/>
      <w:bookmarkEnd w:id="9"/>
      <w:r>
        <w:rPr>
          <w:rFonts w:ascii="Times New Roman" w:hAnsi="Times New Roman"/>
          <w:b/>
          <w:smallCaps/>
          <w:color w:val="000000"/>
          <w:sz w:val="18"/>
        </w:rPr>
        <w:t>Condensed Consolidated Statements of Cash Flows</w:t>
      </w:r>
    </w:p>
    <w:p>
      <w:pPr>
        <w:pStyle w:val="TextBody"/>
        <w:bidi w:val="0"/>
        <w:spacing w:before="40" w:after="283"/>
        <w:jc w:val="center"/>
        <w:rPr>
          <w:rFonts w:ascii="Times New Roman" w:hAnsi="Times New Roman"/>
          <w:i/>
          <w:color w:val="000000"/>
          <w:sz w:val="18"/>
        </w:rPr>
      </w:pPr>
      <w:r>
        <w:rPr>
          <w:rFonts w:ascii="Times New Roman" w:hAnsi="Times New Roman"/>
          <w:i/>
          <w:color w:val="000000"/>
          <w:sz w:val="18"/>
        </w:rPr>
        <w:t>(in thousands)</w:t>
      </w:r>
    </w:p>
    <w:p>
      <w:pPr>
        <w:pStyle w:val="TextBody"/>
        <w:bidi w:val="0"/>
        <w:spacing w:before="40" w:after="283"/>
        <w:jc w:val="center"/>
        <w:rPr>
          <w:rFonts w:ascii="Times New Roman" w:hAnsi="Times New Roman"/>
          <w:i/>
          <w:color w:val="000000"/>
          <w:sz w:val="18"/>
        </w:rPr>
      </w:pPr>
      <w:r>
        <w:rPr>
          <w:rFonts w:ascii="Times New Roman" w:hAnsi="Times New Roman"/>
          <w:i/>
          <w:color w:val="000000"/>
          <w:sz w:val="18"/>
        </w:rPr>
        <w:t>(unaudited)</w:t>
      </w:r>
    </w:p>
    <w:tbl>
      <w:tblPr>
        <w:tblW w:w="9684" w:type="dxa"/>
        <w:jc w:val="left"/>
        <w:tblInd w:w="0" w:type="dxa"/>
        <w:tblLayout w:type="fixed"/>
        <w:tblCellMar>
          <w:top w:w="28" w:type="dxa"/>
          <w:left w:w="28" w:type="dxa"/>
          <w:bottom w:w="28" w:type="dxa"/>
          <w:right w:w="28" w:type="dxa"/>
        </w:tblCellMar>
      </w:tblPr>
      <w:tblGrid>
        <w:gridCol w:w="6321"/>
        <w:gridCol w:w="146"/>
        <w:gridCol w:w="196"/>
        <w:gridCol w:w="751"/>
        <w:gridCol w:w="166"/>
        <w:gridCol w:w="146"/>
        <w:gridCol w:w="196"/>
        <w:gridCol w:w="751"/>
        <w:gridCol w:w="1011"/>
      </w:tblGrid>
      <w:tr>
        <w:trPr/>
        <w:tc>
          <w:tcPr>
            <w:tcW w:w="6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(169,543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loss to 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17,642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25,497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contract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25,347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Non-cash operating lease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discount) amortization of premium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changes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77,402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47,793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contract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(34,320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(22,386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52,901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19,604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for withholding taxes upon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for holdback consideration on business combination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for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44,799</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167,197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211,996</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amount included in the measurement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7,644</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capitalized in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purchased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Vesting of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offering costs accrued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i/>
          <w:color w:val="000000"/>
          <w:sz w:val="16"/>
        </w:rPr>
      </w:pPr>
      <w:r>
        <w:rPr>
          <w:rFonts w:ascii="Times New Roman" w:hAnsi="Times New Roman"/>
          <w:i/>
          <w:color w:val="000000"/>
          <w:sz w:val="16"/>
        </w:rPr>
        <w:t>The accompanying notes are an integral part of these condensed consolidated financial statements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40" w:after="283"/>
        <w:jc w:val="center"/>
        <w:rPr>
          <w:rFonts w:ascii="Times New Roman" w:hAnsi="Times New Roman"/>
          <w:b/>
          <w:smallCaps/>
          <w:color w:val="000000"/>
          <w:sz w:val="20"/>
        </w:rPr>
      </w:pPr>
      <w:r>
        <w:rPr>
          <w:rFonts w:ascii="Times New Roman" w:hAnsi="Times New Roman"/>
          <w:b/>
          <w:smallCaps/>
          <w:color w:val="000000"/>
          <w:sz w:val="20"/>
        </w:rPr>
        <w:t>Netskope, Inc.</w:t>
      </w:r>
    </w:p>
    <w:p>
      <w:pPr>
        <w:pStyle w:val="TextBody"/>
        <w:bidi w:val="0"/>
        <w:spacing w:before="40" w:after="283"/>
        <w:jc w:val="center"/>
        <w:rPr>
          <w:rFonts w:ascii="Times New Roman" w:hAnsi="Times New Roman"/>
          <w:b/>
          <w:smallCaps/>
          <w:color w:val="000000"/>
          <w:sz w:val="20"/>
        </w:rPr>
      </w:pPr>
      <w:bookmarkStart w:id="10" w:name="fpage_footnote"/>
      <w:bookmarkEnd w:id="10"/>
      <w:r>
        <w:rPr>
          <w:rFonts w:ascii="Times New Roman" w:hAnsi="Times New Roman"/>
          <w:b/>
          <w:smallCaps/>
          <w:color w:val="000000"/>
          <w:sz w:val="20"/>
        </w:rPr>
        <w:t>Notes to condensed consolidated Financial Statements</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Netskope, Inc. ("Netskope" or the "Company") is a global cybersecurity company that provides security, networking, analytics, and artificial intelligence ("AI") solutions to organizations ranging from some of the world's largest enterprises to mid-sized companies. The Company delivers its offerings through a Software-as-a-Service ("SaaS") business model, selling subscriptions that provide customers access to its platform along with related support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was incorporated in Delaware in October 2012. The Company is headquartered in Santa Clara, California, and conducts business worldwide, including North America, South America, Europe, and Asia.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 Basis of Presentation and Summary of Significant Accounting Policies</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accordance with U.S. generally accepted accounting principles ("GAAP"), and applicable rules and regulations of the Securities and Exchange Commission ("SEC"), regarding interim financial reporting. Accordingly, they do not include all disclosures normally required in annual consolidated financial statements prepared in accordance with GAAP. Therefore, these unaudited condensed consolidated financial statements should be read in conjunction with the audited consolidated financial statements and notes included in the Company's Annual Report on Form 10-K for the fiscal year ended January 31, 2026 filed with the SEC on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these unaudited condensed consolidated financial statements reflect all adjustments, including those of a normal and recurring nature, which are necessary for a fair presentation of the results for the interim period presented. The results of operations for interim periods are not necessarily indicative of results for the full year. The unaudited condensed consolidated financial statements include the accounts of the Company's wholly-owned subsidiaries. All intercompany balances and transactions have been eliminated in consolidation. The Company's fiscal year ends on January 31.</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an emerging growth company ("EGC") as defined in the Jumpstart Our Business Startups Act of 2012 ("JOBS Act"). An EGC may take advantage of specified reduced reporting requirements that are otherwise applicable generally to public companies, including, but not limited to, delayed adoption of new or revised accounting pronouncements applicable to public companies until such pronouncements are made applicable to private companies, not being required to comply with the auditor attestation requirements of Section 404 of the Sarbanes-Oxley Act of 2002, reduced disclosure obligations regarding executive compensation in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 may take advantage of these exemptions until it is no longer an EGC. The Company will cease to be an EGC upon the earliest to occur of: (i) the first fiscal year following the fifth anniversary of its initial public offering; (ii) the first fiscal year after annual gross revenue is $1.235 billion or more; (iii) the date on which the Company has, during the previous three-year period, issued more than $1.0 billion in non-convertible debt securities; or (iv) the date on which the Company qualifies as a "large accelerated filer," as defined in Rule 12b-2 under the Exchange Act, which would occur at the end of any fiscal year in which the market value of the Company’s common stock held by non-affiliates exceeded $700.0 million as of the end of the second quarter of that fiscal year.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management to make estimates and assumptions that affect the amounts reported and disclosed in the condensed financial statements and accompanying notes. Such estimates include, but are not limited to, the estimation of fair value of Convertible Notes (as defined below), the determination of fair value of the Company's common stock prior to the completion of the initial public offering ("IPO"), stock-based awards, standalone selling price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each performance obligation, useful lives of intangible assets and property and equipment, the period of benefit for deferred contract acquisition costs for commissions, incremental borrowing rate used to value operating lease liabilities, income taxes including related reserves, and valuation of intangible assets and goodwill.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condensed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Risk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are exposed to the concentration of credit risk consist primarily of cash, cash equivalents, restricted cash, marketable securities, and accounts receivable. Although the Company maintains cash and cash equivalents in multiple financial institutions, the deposits, at times, may exceed federally insured limits. The Company is exposed to credit risk in the event of a default by the financial institutions holding its cash, cash equivalents, restricted cash, and marketable securities for the amounts reflected on the condensed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 The Company has not experienced any credit losses relating to its cash, cash equivalents, restricted cash, or marketable securities.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Revenue and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revenue and accounts receivable are derived substantially from the United States, Europe, and Asia and from customers across a multitude of industries. The Company grants credit to customers in the normal course of business. The Company maintains an allowance for credit losses for estimated losses resulting from the inability of its customers to make payments. The Company conducts on-going credit evaluations of customers' payment history and current creditworthiness. The allowance is maintained for all accounts deemed to be uncollectible on a specific identification basis. The allowance for credit losses was immaterial as of July 31, 2026 and January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July 31, 2026, there were two channel partners that each represented approximately 16% of the accounts receivable, net balance. As of January 31, 2026, there was one channel partner that represented approximately 14% of the accounts receivable, net balance.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single end customer represented 10% or more of total revenue for the three and six months ended July 31, 2026 and 2025. Channel partners that represented 10% or more of total revenue for the three and six months ended July 31, 2026 and 2025 were as follows:</w:t>
      </w:r>
    </w:p>
    <w:p>
      <w:pPr>
        <w:pStyle w:val="TextBody"/>
        <w:bidi w:val="0"/>
        <w:jc w:val="left"/>
        <w:rPr/>
      </w:pPr>
      <w:r>
        <w:rPr/>
        <w:t> </w:t>
      </w:r>
    </w:p>
    <w:tbl>
      <w:tblPr>
        <w:tblW w:w="6246" w:type="dxa"/>
        <w:jc w:val="left"/>
        <w:tblInd w:w="0" w:type="dxa"/>
        <w:tblLayout w:type="fixed"/>
        <w:tblCellMar>
          <w:top w:w="28" w:type="dxa"/>
          <w:left w:w="28" w:type="dxa"/>
          <w:bottom w:w="28" w:type="dxa"/>
          <w:right w:w="28" w:type="dxa"/>
        </w:tblCellMar>
      </w:tblPr>
      <w:tblGrid>
        <w:gridCol w:w="1636"/>
        <w:gridCol w:w="146"/>
        <w:gridCol w:w="251"/>
        <w:gridCol w:w="491"/>
        <w:gridCol w:w="440"/>
        <w:gridCol w:w="251"/>
        <w:gridCol w:w="801"/>
        <w:gridCol w:w="146"/>
        <w:gridCol w:w="226"/>
        <w:gridCol w:w="443"/>
        <w:gridCol w:w="397"/>
        <w:gridCol w:w="226"/>
        <w:gridCol w:w="792"/>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63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Channel Partner A </w:t>
            </w:r>
            <w:r>
              <w:rPr>
                <w:rFonts w:ascii="Times New Roman" w:hAnsi="Times New Roman"/>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r>
      <w:tr>
        <w:trPr/>
        <w:tc>
          <w:tcPr>
            <w:tcW w:w="163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Channel Partner B </w:t>
            </w:r>
            <w:r>
              <w:rPr>
                <w:rFonts w:ascii="Times New Roman" w:hAnsi="Times New Roman"/>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than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lineRule="auto" w:line="360"/>
        <w:jc w:val="left"/>
        <w:rPr>
          <w:rFonts w:ascii="Times New Roman" w:hAnsi="Times New Roman"/>
          <w:sz w:val="12"/>
        </w:rPr>
      </w:pPr>
      <w:r>
        <w:rPr>
          <w:rFonts w:ascii="Times New Roman" w:hAnsi="Times New Roman"/>
          <w:color w:val="000000"/>
          <w:sz w:val="12"/>
        </w:rPr>
        <w:t xml:space="preserve">(a) </w:t>
      </w:r>
      <w:r>
        <w:rPr>
          <w:rFonts w:ascii="Times New Roman" w:hAnsi="Times New Roman"/>
          <w:color w:val="000000"/>
          <w:sz w:val="18"/>
        </w:rPr>
        <w:t>Represented approximately 16% of the accounts receivable, net balance each as of July 31,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Vendor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third-party vendors for delivering the Company's SaaS platform. While these services are highly available and designed to be resilient to failure of infrastructure, the Company's services could be significantly impacted if the third-party vendors' services experience certain types of interruptions.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purchased with an original maturity of three months or less at purchase to be cash equivalents. Cash equivalents primarily consist of amounts invested in money market funds, government agency securities, and commercial paper.</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consisted of amounts held as collateral in connection with certain facility lease agreements. The Company had restricted cash of $0.3 million and $1.2 million as of July 31, 2026 and January 31, 2026, respectively, which was included in other assets, noncurrent in the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to the total of these amounts shown in the condensed consolidated statements of cash flows (in thousands):</w:t>
      </w:r>
    </w:p>
    <w:p>
      <w:pPr>
        <w:pStyle w:val="TextBody"/>
        <w:bidi w:val="0"/>
        <w:jc w:val="both"/>
        <w:rPr/>
      </w:pPr>
      <w:r>
        <w:rPr/>
        <w:t> </w:t>
      </w:r>
    </w:p>
    <w:tbl>
      <w:tblPr>
        <w:tblW w:w="6900" w:type="dxa"/>
        <w:jc w:val="left"/>
        <w:tblInd w:w="0" w:type="dxa"/>
        <w:tblLayout w:type="fixed"/>
        <w:tblCellMar>
          <w:top w:w="28" w:type="dxa"/>
          <w:left w:w="28" w:type="dxa"/>
          <w:bottom w:w="28" w:type="dxa"/>
          <w:right w:w="28" w:type="dxa"/>
        </w:tblCellMar>
      </w:tblPr>
      <w:tblGrid>
        <w:gridCol w:w="3781"/>
        <w:gridCol w:w="146"/>
        <w:gridCol w:w="242"/>
        <w:gridCol w:w="853"/>
        <w:gridCol w:w="146"/>
        <w:gridCol w:w="146"/>
        <w:gridCol w:w="308"/>
        <w:gridCol w:w="1087"/>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432,583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433,769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Supplemental cash flow information related to the Company's operating leases for the six months ended July 31, 2026 and 2025 were as follows (in thousands):</w:t>
      </w:r>
    </w:p>
    <w:p>
      <w:pPr>
        <w:pStyle w:val="TextBody"/>
        <w:bidi w:val="0"/>
        <w:spacing w:before="120" w:after="283"/>
        <w:jc w:val="both"/>
        <w:rPr/>
      </w:pPr>
      <w:r>
        <w:rPr/>
        <w:t> </w:t>
      </w:r>
    </w:p>
    <w:tbl>
      <w:tblPr>
        <w:tblW w:w="8046" w:type="dxa"/>
        <w:jc w:val="left"/>
        <w:tblInd w:w="0" w:type="dxa"/>
        <w:tblLayout w:type="fixed"/>
        <w:tblCellMar>
          <w:top w:w="28" w:type="dxa"/>
          <w:left w:w="28" w:type="dxa"/>
          <w:bottom w:w="28" w:type="dxa"/>
          <w:right w:w="28" w:type="dxa"/>
        </w:tblCellMar>
      </w:tblPr>
      <w:tblGrid>
        <w:gridCol w:w="5671"/>
        <w:gridCol w:w="146"/>
        <w:gridCol w:w="234"/>
        <w:gridCol w:w="611"/>
        <w:gridCol w:w="174"/>
        <w:gridCol w:w="174"/>
        <w:gridCol w:w="234"/>
        <w:gridCol w:w="611"/>
        <w:gridCol w:w="1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ROU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its 3.75% Convertible Senior Paid in Kind ("PIK") Toggle Notes due in December 2028 (the “2028 Notes”) and 3.00% Convertible Senior PIK Toggle Notes due in 2029 (the “2029 Notes”, collectively referred to as the "Convertible Notes"), at fair value under the fair value option in accordance with Accounting Standards Codification ("ASC") 825, </w:t>
      </w:r>
      <w:r>
        <w:rPr>
          <w:rFonts w:ascii="Times New Roman" w:hAnsi="Times New Roman"/>
          <w:i/>
          <w:color w:val="000000"/>
          <w:sz w:val="20"/>
        </w:rPr>
        <w:t>Financial Instruments</w:t>
      </w:r>
      <w:r>
        <w:rPr>
          <w:rFonts w:ascii="Times New Roman" w:hAnsi="Times New Roman"/>
          <w:color w:val="000000"/>
          <w:sz w:val="20"/>
        </w:rPr>
        <w:t>. The Convertible Notes are remeasured at fair value each reporting period, with changes in fair value recognized in the condensed consolidated statements of operations and condensed consolidated statements of comprehensive loss. Changes in fair value attributable to instrument-specific credit risk are recorded in other comprehensive income (loss) within stockholders' equity (deficit).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 xml:space="preserve">Intangibles - Goodwill and Other - Internal-Use Software (Subtopic 350-40): Targeted Improvements to the Accounting for Internal-Use Software. </w:t>
      </w:r>
      <w:r>
        <w:rPr>
          <w:rFonts w:ascii="Times New Roman" w:hAnsi="Times New Roman"/>
          <w:color w:val="000000"/>
          <w:sz w:val="20"/>
        </w:rPr>
        <w:t>This ASU clarifies the threshold entities apply to begin capitalizing costs and removes references to software development project stages. The ASU requires that an entity capitalize software costs when management has authorized and committed to funding the software project and when it is probable that the project will be completed and the software will be used to perform the intended functions, including consideration of whether there is significant development uncertainty. This ASU is effective for the Company beginning February 1, 2028. The Company is currently evaluating the impact of the adoption of this ASU on its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(Topic 220): Disaggregation of Income Statement Expenses,</w:t>
      </w:r>
      <w:r>
        <w:rPr>
          <w:rFonts w:ascii="Times New Roman" w:hAnsi="Times New Roman"/>
          <w:color w:val="000000"/>
          <w:sz w:val="20"/>
        </w:rPr>
        <w:t xml:space="preserve"> which requires disclosure of additional information about specific expense categories underlying certain income statement expense line items. Additionally, in January 2025, the FASB issued ASU 2025-01 to clarify the effective date of ASU 2024-03. This ASU is effective for the Company beginning February 1, 2027 and requires either prospective or retrospective application. The Company is currently evaluating the impact of this ASU on its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classifies its cash equivalents and marketable securities within Level 1 or Level 2 because they are valued using either quoted market prices or inputs other than quoted prices which are directly or indirectly observable in the market, including readily available pricing sources for the identical underlying security which may not be actively traded.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its Convertible Notes within Level 3 and they are measured at fair value using valuation techniques and require significant management judgment or estimation.</w:t>
      </w:r>
    </w:p>
    <w:p>
      <w:pPr>
        <w:pStyle w:val="TextBody"/>
        <w:bidi w:val="0"/>
        <w:spacing w:before="360" w:after="283"/>
        <w:jc w:val="left"/>
        <w:rPr>
          <w:rFonts w:ascii="Times New Roman" w:hAnsi="Times New Roman"/>
          <w:sz w:val="20"/>
        </w:rPr>
      </w:pPr>
      <w:r>
        <w:rPr>
          <w:rFonts w:ascii="Times New Roman" w:hAnsi="Times New Roman"/>
          <w:b/>
          <w:i/>
          <w:color w:val="000000"/>
          <w:sz w:val="20"/>
        </w:rPr>
        <w:t>Cash Equivalents and 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cash equivalents and marketable securities within significant investment categories by level of input within the fair value hierarchy as of July 31, 2026 and January 31, 2026 (in thousands):</w:t>
      </w:r>
    </w:p>
    <w:p>
      <w:pPr>
        <w:pStyle w:val="TextBody"/>
        <w:bidi w:val="0"/>
        <w:jc w:val="both"/>
        <w:rPr/>
      </w:pPr>
      <w:r>
        <w:rPr/>
        <w:t> </w:t>
      </w:r>
    </w:p>
    <w:tbl>
      <w:tblPr>
        <w:tblW w:w="9314" w:type="dxa"/>
        <w:jc w:val="left"/>
        <w:tblInd w:w="0" w:type="dxa"/>
        <w:tblLayout w:type="fixed"/>
        <w:tblCellMar>
          <w:top w:w="28" w:type="dxa"/>
          <w:left w:w="28" w:type="dxa"/>
          <w:bottom w:w="28" w:type="dxa"/>
          <w:right w:w="28" w:type="dxa"/>
        </w:tblCellMar>
      </w:tblPr>
      <w:tblGrid>
        <w:gridCol w:w="2431"/>
        <w:gridCol w:w="146"/>
        <w:gridCol w:w="196"/>
        <w:gridCol w:w="691"/>
        <w:gridCol w:w="146"/>
        <w:gridCol w:w="146"/>
        <w:gridCol w:w="208"/>
        <w:gridCol w:w="543"/>
        <w:gridCol w:w="146"/>
        <w:gridCol w:w="146"/>
        <w:gridCol w:w="196"/>
        <w:gridCol w:w="571"/>
        <w:gridCol w:w="166"/>
        <w:gridCol w:w="146"/>
        <w:gridCol w:w="196"/>
        <w:gridCol w:w="691"/>
        <w:gridCol w:w="146"/>
        <w:gridCol w:w="146"/>
        <w:gridCol w:w="196"/>
        <w:gridCol w:w="691"/>
        <w:gridCol w:w="146"/>
        <w:gridCol w:w="146"/>
        <w:gridCol w:w="196"/>
        <w:gridCol w:w="691"/>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July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Cash</w:t>
              <w:br/>
              <w:t>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Marketable</w:t>
              <w:br/>
              <w:t>Securities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357,793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355,638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846,509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568" w:type="dxa"/>
        <w:jc w:val="left"/>
        <w:tblInd w:w="0" w:type="dxa"/>
        <w:tblLayout w:type="fixed"/>
        <w:tblCellMar>
          <w:top w:w="28" w:type="dxa"/>
          <w:left w:w="28" w:type="dxa"/>
          <w:bottom w:w="28" w:type="dxa"/>
          <w:right w:w="28" w:type="dxa"/>
        </w:tblCellMar>
      </w:tblPr>
      <w:tblGrid>
        <w:gridCol w:w="2431"/>
        <w:gridCol w:w="146"/>
        <w:gridCol w:w="196"/>
        <w:gridCol w:w="826"/>
        <w:gridCol w:w="146"/>
        <w:gridCol w:w="146"/>
        <w:gridCol w:w="257"/>
        <w:gridCol w:w="494"/>
        <w:gridCol w:w="146"/>
        <w:gridCol w:w="146"/>
        <w:gridCol w:w="232"/>
        <w:gridCol w:w="519"/>
        <w:gridCol w:w="166"/>
        <w:gridCol w:w="146"/>
        <w:gridCol w:w="196"/>
        <w:gridCol w:w="826"/>
        <w:gridCol w:w="146"/>
        <w:gridCol w:w="146"/>
        <w:gridCol w:w="196"/>
        <w:gridCol w:w="691"/>
        <w:gridCol w:w="146"/>
        <w:gridCol w:w="146"/>
        <w:gridCol w:w="196"/>
        <w:gridCol w:w="691"/>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0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Cash</w:t>
              <w:br/>
              <w:t>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Marketable</w:t>
              <w:br/>
              <w:t>Securities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725,603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impairment charges due to credit losses during the three and six months ended July 31, 2026 and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Valuation Methodology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Convertible Notes are measured at fair value and are categorized within Level 3 of the fair value hierarchy. The fair value of the Convertible Notes is estimated using a single-scenario lattice approach that incorporates the trading price of the Company's Class A common stock data, risk-free interest rate, and estimated credit spread.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Convertible Notes on their respective issuance dates was the same as the carrying amounts of $401.0 million for the 2028 Notes and $75.0 million for the 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significant quantitative inputs considered in the valuation of Convertible Notes as of July 31, 2026 and January 31, 2026:</w:t>
      </w:r>
    </w:p>
    <w:p>
      <w:pPr>
        <w:pStyle w:val="TextBody"/>
        <w:bidi w:val="0"/>
        <w:jc w:val="both"/>
        <w:rPr/>
      </w:pPr>
      <w:r>
        <w:rPr/>
        <w:t> </w:t>
      </w:r>
    </w:p>
    <w:tbl>
      <w:tblPr>
        <w:tblW w:w="6964" w:type="dxa"/>
        <w:jc w:val="left"/>
        <w:tblInd w:w="0" w:type="dxa"/>
        <w:tblLayout w:type="fixed"/>
        <w:tblCellMar>
          <w:top w:w="28" w:type="dxa"/>
          <w:left w:w="28" w:type="dxa"/>
          <w:bottom w:w="28" w:type="dxa"/>
          <w:right w:w="28" w:type="dxa"/>
        </w:tblCellMar>
      </w:tblPr>
      <w:tblGrid>
        <w:gridCol w:w="1651"/>
        <w:gridCol w:w="146"/>
        <w:gridCol w:w="253"/>
        <w:gridCol w:w="662"/>
        <w:gridCol w:w="256"/>
        <w:gridCol w:w="146"/>
        <w:gridCol w:w="253"/>
        <w:gridCol w:w="662"/>
        <w:gridCol w:w="256"/>
        <w:gridCol w:w="146"/>
        <w:gridCol w:w="253"/>
        <w:gridCol w:w="662"/>
        <w:gridCol w:w="256"/>
        <w:gridCol w:w="146"/>
        <w:gridCol w:w="253"/>
        <w:gridCol w:w="662"/>
        <w:gridCol w:w="30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Price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Selected credit spread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Coupon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have transfers between levels of the fair value hierarchy of assets measured at fair value during the periods presented.</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4 - 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Subscription revenue is recognized over time and accounted for 99% of the Company's total revenue for the three and six months ended July 31, 2026 and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disaggregation of revenue by geographic area, based on the shipping address of the end customer for contracts through channel partners and direct customers (in thousands):</w:t>
      </w:r>
    </w:p>
    <w:p>
      <w:pPr>
        <w:pStyle w:val="TextBody"/>
        <w:bidi w:val="0"/>
        <w:jc w:val="left"/>
        <w:rPr/>
      </w:pPr>
      <w:r>
        <w:rPr/>
        <w:t> </w:t>
      </w:r>
    </w:p>
    <w:tbl>
      <w:tblPr>
        <w:tblW w:w="8425" w:type="dxa"/>
        <w:jc w:val="left"/>
        <w:tblInd w:w="0" w:type="dxa"/>
        <w:tblLayout w:type="fixed"/>
        <w:tblCellMar>
          <w:top w:w="28" w:type="dxa"/>
          <w:left w:w="28" w:type="dxa"/>
          <w:bottom w:w="28" w:type="dxa"/>
          <w:right w:w="28" w:type="dxa"/>
        </w:tblCellMar>
      </w:tblPr>
      <w:tblGrid>
        <w:gridCol w:w="3496"/>
        <w:gridCol w:w="146"/>
        <w:gridCol w:w="212"/>
        <w:gridCol w:w="747"/>
        <w:gridCol w:w="158"/>
        <w:gridCol w:w="158"/>
        <w:gridCol w:w="212"/>
        <w:gridCol w:w="747"/>
        <w:gridCol w:w="146"/>
        <w:gridCol w:w="146"/>
        <w:gridCol w:w="196"/>
        <w:gridCol w:w="691"/>
        <w:gridCol w:w="146"/>
        <w:gridCol w:w="146"/>
        <w:gridCol w:w="196"/>
        <w:gridCol w:w="691"/>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120,887</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184,861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Asia Pacific and Japan ("APJ")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Europe, the Middle East, and Africa ("EMEA")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57,812</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220,541</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from the United States, which was included within the Americas region in the table above, was $95.9 million, $76.4 million, $184.6 million, and $146.7 million during the three months ended July 31, 2026 and 2025, and the six months ended July 31,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revenue from contracts through indirect channels, including channel partners and managed service providers, and direct end customers for the periods presented (in thousands):</w:t>
      </w:r>
    </w:p>
    <w:p>
      <w:pPr>
        <w:pStyle w:val="TextBody"/>
        <w:bidi w:val="0"/>
        <w:jc w:val="both"/>
        <w:rPr/>
      </w:pPr>
      <w:r>
        <w:rPr/>
        <w:t> </w:t>
      </w:r>
    </w:p>
    <w:tbl>
      <w:tblPr>
        <w:tblW w:w="6550" w:type="dxa"/>
        <w:jc w:val="left"/>
        <w:tblInd w:w="0" w:type="dxa"/>
        <w:tblLayout w:type="fixed"/>
        <w:tblCellMar>
          <w:top w:w="28" w:type="dxa"/>
          <w:left w:w="28" w:type="dxa"/>
          <w:bottom w:w="28" w:type="dxa"/>
          <w:right w:w="28" w:type="dxa"/>
        </w:tblCellMar>
      </w:tblPr>
      <w:tblGrid>
        <w:gridCol w:w="1621"/>
        <w:gridCol w:w="146"/>
        <w:gridCol w:w="212"/>
        <w:gridCol w:w="747"/>
        <w:gridCol w:w="158"/>
        <w:gridCol w:w="158"/>
        <w:gridCol w:w="212"/>
        <w:gridCol w:w="747"/>
        <w:gridCol w:w="146"/>
        <w:gridCol w:w="146"/>
        <w:gridCol w:w="196"/>
        <w:gridCol w:w="691"/>
        <w:gridCol w:w="146"/>
        <w:gridCol w:w="146"/>
        <w:gridCol w:w="196"/>
        <w:gridCol w:w="691"/>
        <w:gridCol w:w="19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Indirect channels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213,695</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311,573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end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220,541</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422,133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consists primarily of payments received and accounts receivable recorded in advance of performance under the contract. Such amounts are recognized as revenue over the contractual period. The amounts of revenue recognized during the three months ended July 31, 2026 and 2025 and the six months ended July 31, 2026 and 2025, that were included in the deferred revenue at the beginning of the period, were $160.2 million, $126.8 million, $347.9 million, and $272.1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are received from customers based upon contractual billing schedules and accounts receivable are recorded when the right to consideration becomes unconditional. Contract assets include amounts related to the Company's contractual right to consideration for both completed and partially completed performance obligations that may not have been invoiced and such amounts have historically not been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activity of deferred revenue (in thousands):</w:t>
      </w:r>
    </w:p>
    <w:p>
      <w:pPr>
        <w:pStyle w:val="TextBody"/>
        <w:bidi w:val="0"/>
        <w:jc w:val="both"/>
        <w:rPr/>
      </w:pPr>
      <w:r>
        <w:rPr/>
        <w:t> </w:t>
      </w:r>
    </w:p>
    <w:tbl>
      <w:tblPr>
        <w:tblW w:w="7509" w:type="dxa"/>
        <w:jc w:val="left"/>
        <w:tblInd w:w="0" w:type="dxa"/>
        <w:tblLayout w:type="fixed"/>
        <w:tblCellMar>
          <w:top w:w="28" w:type="dxa"/>
          <w:left w:w="28" w:type="dxa"/>
          <w:bottom w:w="28" w:type="dxa"/>
          <w:right w:w="28" w:type="dxa"/>
        </w:tblCellMar>
      </w:tblPr>
      <w:tblGrid>
        <w:gridCol w:w="2401"/>
        <w:gridCol w:w="146"/>
        <w:gridCol w:w="198"/>
        <w:gridCol w:w="761"/>
        <w:gridCol w:w="168"/>
        <w:gridCol w:w="147"/>
        <w:gridCol w:w="198"/>
        <w:gridCol w:w="761"/>
        <w:gridCol w:w="166"/>
        <w:gridCol w:w="146"/>
        <w:gridCol w:w="196"/>
        <w:gridCol w:w="751"/>
        <w:gridCol w:w="166"/>
        <w:gridCol w:w="146"/>
        <w:gridCol w:w="196"/>
        <w:gridCol w:w="751"/>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652,836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590,307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238,380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344,564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Recognition of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(220,541</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670,675</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606,377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670,675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606,377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Remaining performance obligations represent the amount of contracted future revenue that has not yet been recognized, including both deferred revenue that has been invoiced and non-cancelable committed amounts that will be invoiced and recognized as revenue in future periods.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July 31, 2026, the aggregate amount of the transaction price allocated to remaining performance obligations was $1.4 billion. The Company expects to recognize 53% of the remaining performance obligations over the next 12 months and 43% between 13 and 36 months, with the remainder to be recognized thereafter.</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Contract Acquisition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activity of deferred contract acquisition costs (in thousands):</w:t>
      </w:r>
    </w:p>
    <w:p>
      <w:pPr>
        <w:pStyle w:val="TextBody"/>
        <w:bidi w:val="0"/>
        <w:jc w:val="left"/>
        <w:rPr/>
      </w:pPr>
      <w:r>
        <w:rPr/>
        <w:t> </w:t>
      </w:r>
    </w:p>
    <w:tbl>
      <w:tblPr>
        <w:tblW w:w="8679" w:type="dxa"/>
        <w:jc w:val="left"/>
        <w:tblInd w:w="0" w:type="dxa"/>
        <w:tblLayout w:type="fixed"/>
        <w:tblCellMar>
          <w:top w:w="28" w:type="dxa"/>
          <w:left w:w="28" w:type="dxa"/>
          <w:bottom w:w="28" w:type="dxa"/>
          <w:right w:w="28" w:type="dxa"/>
        </w:tblCellMar>
      </w:tblPr>
      <w:tblGrid>
        <w:gridCol w:w="3691"/>
        <w:gridCol w:w="146"/>
        <w:gridCol w:w="210"/>
        <w:gridCol w:w="740"/>
        <w:gridCol w:w="177"/>
        <w:gridCol w:w="156"/>
        <w:gridCol w:w="210"/>
        <w:gridCol w:w="740"/>
        <w:gridCol w:w="166"/>
        <w:gridCol w:w="146"/>
        <w:gridCol w:w="196"/>
        <w:gridCol w:w="691"/>
        <w:gridCol w:w="166"/>
        <w:gridCol w:w="146"/>
        <w:gridCol w:w="196"/>
        <w:gridCol w:w="691"/>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156,228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Capitalization of contract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24,804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deferred contract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164,424</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contract acquisition costs,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contract acquisition costs,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deferred contract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5 - Intangible Assets,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Intangible assets, net consisted of the following (in thousands):</w:t>
      </w:r>
    </w:p>
    <w:tbl>
      <w:tblPr>
        <w:tblW w:w="10205" w:type="dxa"/>
        <w:jc w:val="left"/>
        <w:tblInd w:w="0" w:type="dxa"/>
        <w:tblLayout w:type="fixed"/>
        <w:tblCellMar>
          <w:top w:w="28" w:type="dxa"/>
          <w:left w:w="28" w:type="dxa"/>
          <w:bottom w:w="28" w:type="dxa"/>
          <w:right w:w="28" w:type="dxa"/>
        </w:tblCellMar>
      </w:tblPr>
      <w:tblGrid>
        <w:gridCol w:w="2393"/>
        <w:gridCol w:w="146"/>
        <w:gridCol w:w="196"/>
        <w:gridCol w:w="691"/>
        <w:gridCol w:w="146"/>
        <w:gridCol w:w="146"/>
        <w:gridCol w:w="223"/>
        <w:gridCol w:w="858"/>
        <w:gridCol w:w="166"/>
        <w:gridCol w:w="146"/>
        <w:gridCol w:w="250"/>
        <w:gridCol w:w="768"/>
        <w:gridCol w:w="146"/>
        <w:gridCol w:w="146"/>
        <w:gridCol w:w="196"/>
        <w:gridCol w:w="691"/>
        <w:gridCol w:w="146"/>
        <w:gridCol w:w="146"/>
        <w:gridCol w:w="223"/>
        <w:gridCol w:w="858"/>
        <w:gridCol w:w="166"/>
        <w:gridCol w:w="146"/>
        <w:gridCol w:w="250"/>
        <w:gridCol w:w="768"/>
        <w:gridCol w:w="194"/>
      </w:tblGrid>
      <w:tr>
        <w:trPr/>
        <w:tc>
          <w:tcPr>
            <w:tcW w:w="2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relationship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Workforce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IP number block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21,403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Amortization expenses related to acquired intangible assets were $2.7 million and $4.1 million for the three months ended July 31, 2026 and 2025, respectively, and $5.1 million and $10.7 million for the six months ended July 31, 2026 and 2025. As of July 31, 2026 and January 31, 2026, the weighted-average remaining amortization period of the intangible assets was 2.0 years.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expected future amortization expense for acquired intangible assets as of July 31, 2026 is as follows (in thousands):</w:t>
      </w:r>
    </w:p>
    <w:tbl>
      <w:tblPr>
        <w:tblW w:w="3760" w:type="dxa"/>
        <w:jc w:val="left"/>
        <w:tblInd w:w="0" w:type="dxa"/>
        <w:tblLayout w:type="fixed"/>
        <w:tblCellMar>
          <w:top w:w="28" w:type="dxa"/>
          <w:left w:w="28" w:type="dxa"/>
          <w:bottom w:w="28" w:type="dxa"/>
          <w:right w:w="28" w:type="dxa"/>
        </w:tblCellMar>
      </w:tblPr>
      <w:tblGrid>
        <w:gridCol w:w="2626"/>
        <w:gridCol w:w="146"/>
        <w:gridCol w:w="196"/>
        <w:gridCol w:w="60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Fiscal Years Ending January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of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6 - Balance Sheet Components</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tbl>
      <w:tblPr>
        <w:tblW w:w="6685" w:type="dxa"/>
        <w:jc w:val="left"/>
        <w:tblInd w:w="0" w:type="dxa"/>
        <w:tblLayout w:type="fixed"/>
        <w:tblCellMar>
          <w:top w:w="28" w:type="dxa"/>
          <w:left w:w="28" w:type="dxa"/>
          <w:bottom w:w="28" w:type="dxa"/>
          <w:right w:w="28" w:type="dxa"/>
        </w:tblCellMar>
      </w:tblPr>
      <w:tblGrid>
        <w:gridCol w:w="3526"/>
        <w:gridCol w:w="146"/>
        <w:gridCol w:w="226"/>
        <w:gridCol w:w="869"/>
        <w:gridCol w:w="166"/>
        <w:gridCol w:w="146"/>
        <w:gridCol w:w="288"/>
        <w:gridCol w:w="1107"/>
        <w:gridCol w:w="2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Data center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196,835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Computers and related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internal-use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expenses were $7.9 million and $7.4 million during the three months ended July 31, 2026 and 2025, respectively, and $15.5 million and $14.8 million during the six months ended July 31, 2026 and 2025, respectively.</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Compensation and Benefits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compensation and benefits consisted of the following (in thousands): </w:t>
      </w:r>
    </w:p>
    <w:tbl>
      <w:tblPr>
        <w:tblW w:w="6195" w:type="dxa"/>
        <w:jc w:val="left"/>
        <w:tblInd w:w="0" w:type="dxa"/>
        <w:tblLayout w:type="fixed"/>
        <w:tblCellMar>
          <w:top w:w="28" w:type="dxa"/>
          <w:left w:w="28" w:type="dxa"/>
          <w:bottom w:w="28" w:type="dxa"/>
          <w:right w:w="28" w:type="dxa"/>
        </w:tblCellMar>
      </w:tblPr>
      <w:tblGrid>
        <w:gridCol w:w="3076"/>
        <w:gridCol w:w="146"/>
        <w:gridCol w:w="269"/>
        <w:gridCol w:w="826"/>
        <w:gridCol w:w="146"/>
        <w:gridCol w:w="146"/>
        <w:gridCol w:w="343"/>
        <w:gridCol w:w="1052"/>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ESPP withholdings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vacation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payroll related taxes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7 -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minimum operating lease payments as of July 31, 2026 were as follows (in thousands):</w:t>
      </w:r>
    </w:p>
    <w:p>
      <w:pPr>
        <w:pStyle w:val="TextBody"/>
        <w:bidi w:val="0"/>
        <w:jc w:val="left"/>
        <w:rPr/>
      </w:pPr>
      <w:r>
        <w:rPr/>
        <w:t> </w:t>
      </w:r>
    </w:p>
    <w:tbl>
      <w:tblPr>
        <w:tblW w:w="4485" w:type="dxa"/>
        <w:jc w:val="left"/>
        <w:tblInd w:w="0" w:type="dxa"/>
        <w:tblLayout w:type="fixed"/>
        <w:tblCellMar>
          <w:top w:w="28" w:type="dxa"/>
          <w:left w:w="28" w:type="dxa"/>
          <w:bottom w:w="28" w:type="dxa"/>
          <w:right w:w="28" w:type="dxa"/>
        </w:tblCellMar>
      </w:tblPr>
      <w:tblGrid>
        <w:gridCol w:w="3331"/>
        <w:gridCol w:w="146"/>
        <w:gridCol w:w="196"/>
        <w:gridCol w:w="601"/>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Fiscal Years Ending January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of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operating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the ordinary course of business, the Company may be subject from time to time to various proceedings, lawsuits, disputes, or claims. The Company does not believe that there are any pending or threatened legal proceedings that are likely to have a material adverse effect on its condensed consolidated financial statements, h</w:t>
      </w:r>
      <w:r>
        <w:rPr>
          <w:rFonts w:ascii="Times New Roman" w:hAnsi="Times New Roman"/>
          <w:color w:val="222222"/>
          <w:sz w:val="20"/>
        </w:rPr>
        <w:t>owever, the outcomes of litigation and legal matters are inherently unpredictable, and an unfavorable resolution could materially affect the Company's results of operations, financial position or cash flows. Regardless of the outcome, litigation can have an adverse impact on the Company because of defense and settlement costs, diversion of management resources and other factors. The expense of litigation and the timing of this expense from period to period are difficult to estimate, subject to change and could affect the Company's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 party claims that the Company's products when used for their intended purposes infringe the intellectual property rights of such other third parties, or other claims made against certain parties. It is not possible to determine the potential amount of liability under these indemnification obligations due to the Company's limited history of prior indemnification claims and the unique facts and circumstances that are likely to be involved in each particular claim. In addition, the Company indemnifies its officers, directors, and certain key employees while they are serving in good faith in their respective capacities. As of July 31, 2026, there have been no claims under any indemnification provisions and costs and liabilities incurred as a result of indemnification obligations were not material during the periods presented.</w:t>
      </w:r>
    </w:p>
    <w:p>
      <w:pPr>
        <w:pStyle w:val="TextBody"/>
        <w:bidi w:val="0"/>
        <w:spacing w:before="120" w:after="283"/>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8 -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Company completed its IPO which qualified as a Qualified Initial Public Offering ("Qualified IPO") as defined in the respective indentures governing the 2028 Notes and the 2029 Notes. As a result, the conversion rate for the 2028 Notes was finalized at 42.1046 shares of Class B common stock per $1,000 principal amount, representing a conversion price of approximately $23.75 per share. The conversion rate for the 2029 Notes was finalized at 40.4858 shares of Class B common stock per $1,000 principal amount, representing a conversion price of approximately $24.70 per share.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2028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2022, the Company issued $401.0 million of the 2028 Notes under an indenture with U.S. Bank Trust Company, National Association, as trustee. In April 2025, the 2028 Notes were amended to extend the maturity to December 15, 2028, upon a Qualified IPO, to modify the optional repurchase period to 120 - 91 days before the new maturity date, and to adjust redemption conditions post-Qualified IPO. The 2028 Notes accrue interest at 3.75% per annum, payable quarterly in cash or PIK at the Company's election, and are convertible into the Company's Class B common stock. The Company may redeem the notes after the one-year anniversary of a Qualified IPO if the stock price exceeds 200% (or 230% post-December 15, 2027) of the conversion price for a specific period unless it is a redemption in connection with a change in tax law. Holders may request the Company to repurchase their 2028 Notes with a minimum return of 14.0% compounded quarterly, or upon a fundamental change at a premium of 140% - 170% of principal, depending on timing. The Company elected the fair value option under ASC 825.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the Company issued $75.0 million of the 2029 Notes under an indenture with U.S. Bank Trust Company, National Association, as trustee. The 2029 Notes accrue interest at 3.00% per annum, payable quarterly in cash or PIK, and are convertible into the Company's Class B common stock. Conversion, redemption, and repurchase terms are substantially similar to the 2028 Notes, except for a minimum return of 13.5% compounded quarterly for optional repurchase and a $50.0 million minimum outstanding threshold for partial redemptions. The notes are accounted for under the fair value option.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change in the fair value of the 2028 Notes and 2029 Notes, and the related impact on the condensed consolidated statement of operations and the condensed consolidated statements of comprehensive loss, are presented below (in thousands):</w:t>
      </w:r>
    </w:p>
    <w:tbl>
      <w:tblPr>
        <w:tblW w:w="10205" w:type="dxa"/>
        <w:jc w:val="left"/>
        <w:tblInd w:w="0" w:type="dxa"/>
        <w:tblLayout w:type="fixed"/>
        <w:tblCellMar>
          <w:top w:w="28" w:type="dxa"/>
          <w:left w:w="28" w:type="dxa"/>
          <w:bottom w:w="28" w:type="dxa"/>
          <w:right w:w="28" w:type="dxa"/>
        </w:tblCellMar>
      </w:tblPr>
      <w:tblGrid>
        <w:gridCol w:w="6511"/>
        <w:gridCol w:w="146"/>
        <w:gridCol w:w="201"/>
        <w:gridCol w:w="712"/>
        <w:gridCol w:w="166"/>
        <w:gridCol w:w="146"/>
        <w:gridCol w:w="224"/>
        <w:gridCol w:w="687"/>
        <w:gridCol w:w="166"/>
        <w:gridCol w:w="146"/>
        <w:gridCol w:w="196"/>
        <w:gridCol w:w="691"/>
        <w:gridCol w:w="213"/>
      </w:tblGrid>
      <w:tr>
        <w:trPr/>
        <w:tc>
          <w:tcPr>
            <w:tcW w:w="6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720,960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reported in the Condensed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reported in Condensed Consolidated Statement of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(19,864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of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713,321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Change in fair value reported in the Condensed Consolidated Statement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26,528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Change in fair value reported in Condensed Consolidated Statement of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(41,733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698,116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626,622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reported in the Condensed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reported in Condensed Consolidated Statement of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(21,228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of 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638,823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Change in fair value reported in the Condensed Consolidated Statement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43,973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Change in fair value reported in Condensed Consolidated Statement of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17,545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of 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700,341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Remaining unpaid principal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476,000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PIK interest expense included in the fair value changes for the 2028 Notes was $4.3 million and $4.1 million for the three months ended July 31, 2026 and 2025, respectively, and $8.4 million and $8.1 million for the six months ended July 31, 2026 and 2025, respectively. For the 2029 Notes, PIK interest expense was $0.6 million and $0.6 million for the three months ended July 31, 2026 and 2025, respectively, and $1.2 million and $1.1 million for the six months ended July 31, 2026 and 2025, respectively.</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completion of the IPO, the Company amended and restated its certificate of incorporation (the "Charter"), which authorizes three classes of $0.0001 par common stock: 3,000,000,000 shares of Class A common stock, 600,000,000 shares of Class B common stock, and 1,000,000,000 shares of Class C common stock. The rights of the holders of Class A common stock, Class B common stock, and Class C common stock are identical, except with respect to voting, conversion, and transfer rights. Each share of Class A common stock is entitled to one vote per share. Each share of Class B common stock is entitled to 20 votes per share and is convertible at any time into one share of Class A common stock. Shares of Class C common stock have no voting rights, except as otherwise required by law. Class A and Class B common stock are referred to collectively as common stock throughout the notes to the condensed consolidated financial statements, unless otherwise noted. Common stockholders are entitled to dividends when and if declared by the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outstanding share of Class B common stock is convertible at any time at the option of the holder into one share of Class A common stock. Any share of Class B common stock will automatically convert to Class A common stock following the earliest to occur of (i) the sale or transfer of such share of Class B common stock, except for permitted transfers as described in the Charter; (ii) the date specified by the holders of two-thirds of the outstanding shares of Class B common stock; (iii) the last trading day following the tenth anniversary of the effectiveness of the registration statement filed in connection with the Company’s IPO; (iv) the date fixed by the Company’s board of directors that is no less than 61 days and no more than 180 days following the date that Sanjay Beri, the Company's Chief Executive Officer, is no longer providing services to the Company as an officer, employee, consultant, or director; or (v) the date fixed by the board of directors that is no less than 61 days and no more than 180 days following the death or incapacity of Mr. Beri.</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In connection with the amendment of the Company's certificate of incorporation upon the IPO, the Company authorized the issuance of 300,000,000 shares of undesignated preferred stock with a par value of $0.0001 per share with rights and preferences, including voting rights, designated from time to time by the board of directors. As of July 31, 2026, there were no shares of preferred stock issued and outstanding.</w:t>
      </w:r>
    </w:p>
    <w:p>
      <w:pPr>
        <w:pStyle w:val="TextBody"/>
        <w:bidi w:val="0"/>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2012, the Company adopted the 2012 Stock Incentive Plan ("2012 Plan"), under which officers, employees, and consultants may be granted awards of options and the award or sale of shares. The options generally vest over four years with 25% of the option shares vesting one year from the service commencement date and then monthly over the following 36 months and expire no more than ten years after the date of grant. Stock that is purchased prior to vesting is subject to the Company's right of repurchase at any time following termination of the participant. Certain awards provided for accelerated vesting if there is a Change in Control (as defined in the 2012 Plan). The board of directors had authorized 127,243,597 shares of common stock to be reserved for grants of awards under the 2012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the Company adopted the 2022 Stock Incentive Plan ("2022 Plan"), under which officers, employees, and consultants may be granted awards of options, restricted stock awards, stock appreciation rights, restricted stock units ("RSUs") and other stock awards. The options generally vest over four years with 25% of the option shares vesting one year from the service begin date and then monthly over the following 36 months and expire no more than 10 years after the date of grant. RSUs granted under the 2022 Plan are subject to service-based and performance-based vesting conditions. RSUs generally vest ratably over three to four years from the vesting commencement date. Certain awards provided for accelerated vesting if there is a Change in Control (as defined in the 2022 Plan). The 2012 Plan was terminated upon the adoption of the 2022 Plan and all remaining shares available for issuance under the 2012 Plan were transferred into the 2022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IPO, in September 2025, the Company adopted the 2025 Equity Incentive Plan (the "2025 Plan", collectively, with the 2012 Plan and the 2022 Plan, referred to as the "Equity Plans"), under which the Company is authorized to grant awards of options, restricted stock, RSUs, stock appreciation rights, performance awards to employees, directors, and consultants, and the Company's parent and subsidiary corporation's employees and consultants. The 2022 Plan was terminated effective immediately upon the adoption of the 2025 Plan. Under the 2025 Plan, the Company initially reserved 38,210,000 shares of Class A common stock for issuance. In addition, the number of shares reserved for issuance under the 2025 Plan includes the number of shares of Class A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and the number of shares of Class B common stock issuable under the 2012 Plan and 2022 Plan. The number of shares available for issuance under the 2025 Plan also includes an annual increase on the first day of each fiscal year beginning with the Company's 2027 fiscal year, equal to the lesser of: (i) 38,210,000 shares of Class A common stock, (ii) five percent (5%) of the outstanding shares of capital stock as of the last day of the immediately preceding fiscal year, or (iii) such other amount as the Company's board of directors may determine. As of July 31, 2026, there were 51,433,295 shares of Class A common stock reserved for future issuance under the 2025 Plan.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grant-date fair value of RSUs with only service-based and performance-based conditions is determined based on the fair value of the Company's common stock on the date of grant. Upon the consummation of the IPO, the performance-based vesting condition for outstanding RSUs was satisfied. As a result, the RSUs that had satisfied the service-based condition as of the IPO date had vested. For the three and six months ended July 31, 2026, the Company recognized $56.6 million and $124.4 million, respectively, of stock-based compensation expense attributable to RSUs, including performance and market-based RSUs. No stock-based compensation expense attributable to RSUs was recognized for the three and six months ended July 31, 2025 as the performance-based vesting condition had not been satisfied at that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31, 2026, the Company had $410.2 million of unrecognized stock-based compensation related to the RSUs, including the performance and market-based RSUs as further described below. This amount is expected to be recognized over a weighted-average remaining requisite service period of 1.9 years.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Performance and Market-Based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and market-based RSUs include RSU grants with service-based vesting condition and with performance-based and/or market-based vesting conditions. For awards with performance-based vesting conditions, the Company determined the fair value based on the fair value of the Company's common stock on the date of grant. For awards with market-based vesting conditions, the Company used a Monte Carlo simulation to determine the fair value at the grant date and the implied service period. For the three and six months ended July 31, 2026, the Company recognized $11.9 million and $25.1 million, respectively, of stock-based compensation expense attributable to the performance and market-based RSUs. No stock-based compensation expense attributable to performance and market-based RSUs was recognized for the three and six months ended July 31, 2025 as the performance-based vesting condition had not been satisfied at that time.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July 31, 2026, the Company had unrecognized stock-based compensation related to the performance and market-based RSUs of $53.4 million that is expected to be recognized over a weighted average requisite service period of 1.9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stock options under the Company's Equity Plans is determined on the date of grant by utilizing the Black-Scholes option pricing model, which is impacted by the fair value of the Company's common stock. Options granted generally have a maximum term of 10 years from grant date or 90 days from the termination of the optionee, are exercisable upon vesting unless otherwise designated for early exercise by the board of directors at the time of grant, and generally vest over a period of four years. For the three and six months ended July 31, 2026 and 2025, the Company recognized $2.4 million, $7.6 million, $6.2 million, and $17.6 million, respectively, of stock-based compensation expense attributable to stock options. As of July 31, 2026, the Company had 47.0 million stock options outstanding with a weighted-average exercise price of $5.85.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July 31, 2026, the Company had $6.5 million of unrecognized stock-based compensation expense related to the stock options that is expected to be recognized over a weighted average requisite service period of 0.7 years.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the Company's board of directors adopted, and its stockholders approved, the 2025 Employee Stock Purchase Plan (the "ESPP"), which became effective in connection with the IPO. The ESPP authorized the issuance of shares of common stock pursuant to purchase rights granted to employees. A total of 7,650,000 shares of the Company's Class A common stock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has been reserved initially for future issuance under the ESPP, in addition to any annual automatic evergreen increases in the number of shares of Class A common stock reserved for future issuance under the ESPP.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ESPP offers employees the option to purchase shares through a series of consecutive 12 month offering periods on each March 1st and September 1st (with two six-month purchase periods during each offering period). The initial offering period under the ESPP will be shorter than 12 months, commencing on October 3, 2025 and ending on August 31, 2026, with the first purchase period commencing on October 3, 2025 and ending on February 28, 2026. Stock-based compensation related to the ESPP is recognized on a straight-line basis over the offering period in accordance with ASC 718.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at which Class A common stock is purchased under the ESPP is equal to the lower of (i) 85% of the closing trading price per share of the Company's Class A common stock on the first date of an offering period in which a participant is enrolled or (ii) 85% of the closing trading price per share on the purchase date, which will occur on the last trading day of each purchase period. For the initial offering period, the fair market value of the Class A common stock on the offering date was $19.00, the price at which the Company's common stock was first sold to the public in the IPO, as specified in the final prospectus for the Company's IPO dated as of September 17, 2025 and filed with the SEC pursuant to the Rule 424(b)(4) on September 18,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July 31, 2026, the Company recognized $3.5 million and $7.8 million, respectively, of stock-based compensation expense attributable to the ESPP. No stock-based compensation expense attributable to the ESPP was recognized for the three and six months ended July 31, 2025. As of July 31, 2026, the Company had $1.6 million of unrecognized stock-based compensation expense related to the ESPP which is expected to be recognized over a weighted average requisite service period of 0.2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components of stock-based compensation during the periods presented (in thousands):</w:t>
      </w:r>
    </w:p>
    <w:p>
      <w:pPr>
        <w:pStyle w:val="TextBody"/>
        <w:bidi w:val="0"/>
        <w:spacing w:before="120" w:after="283"/>
        <w:jc w:val="both"/>
        <w:rPr/>
      </w:pPr>
      <w:r>
        <w:rPr/>
        <w:t> </w:t>
      </w:r>
    </w:p>
    <w:tbl>
      <w:tblPr>
        <w:tblW w:w="9401" w:type="dxa"/>
        <w:jc w:val="left"/>
        <w:tblInd w:w="0" w:type="dxa"/>
        <w:tblLayout w:type="fixed"/>
        <w:tblCellMar>
          <w:top w:w="28" w:type="dxa"/>
          <w:left w:w="28" w:type="dxa"/>
          <w:bottom w:w="28" w:type="dxa"/>
          <w:right w:w="28" w:type="dxa"/>
        </w:tblCellMar>
      </w:tblPr>
      <w:tblGrid>
        <w:gridCol w:w="4501"/>
        <w:gridCol w:w="146"/>
        <w:gridCol w:w="244"/>
        <w:gridCol w:w="748"/>
        <w:gridCol w:w="181"/>
        <w:gridCol w:w="181"/>
        <w:gridCol w:w="244"/>
        <w:gridCol w:w="636"/>
        <w:gridCol w:w="146"/>
        <w:gridCol w:w="146"/>
        <w:gridCol w:w="202"/>
        <w:gridCol w:w="713"/>
        <w:gridCol w:w="150"/>
        <w:gridCol w:w="150"/>
        <w:gridCol w:w="202"/>
        <w:gridCol w:w="620"/>
        <w:gridCol w:w="1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56,395</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23,521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49,953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139,000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capitalized in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63,026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139,520</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single reportable segment. The Company's chief operating decision maker ("CODM") is its Chief Executive Officer, and the CODM reviews financial information presented on a condensed consolidated basis for purposes of allocating resources, evaluating financial performance and monitoring budget versus actual results based on net income (loss) that is also reported on the condensed consolidated statements of operations. The significant expenses within net loss on which the CODM relies include those that are reported on the condensed consolidated statements of operations. The measure of the Company's single operating segment assets is reported on the condensed consolidated balance sheets as total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disaggregation by geography is presented in Note 4, Revenue Recognition. No single country other than the United States represented 10% or more of the Company's total revenue during the three and six months ended July 31, 2026 and 2025.</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which are comprised of property and equipment, net and operating lease right-of-use assets, by geographic area are summarized as follows (in thousands):</w:t>
      </w:r>
    </w:p>
    <w:p>
      <w:pPr>
        <w:pStyle w:val="TextBody"/>
        <w:bidi w:val="0"/>
        <w:jc w:val="both"/>
        <w:rPr/>
      </w:pPr>
      <w:r>
        <w:rPr/>
        <w:t> </w:t>
      </w:r>
    </w:p>
    <w:tbl>
      <w:tblPr>
        <w:tblW w:w="5130" w:type="dxa"/>
        <w:jc w:val="left"/>
        <w:tblInd w:w="0" w:type="dxa"/>
        <w:tblLayout w:type="fixed"/>
        <w:tblCellMar>
          <w:top w:w="28" w:type="dxa"/>
          <w:left w:w="28" w:type="dxa"/>
          <w:bottom w:w="28" w:type="dxa"/>
          <w:right w:w="28" w:type="dxa"/>
        </w:tblCellMar>
      </w:tblPr>
      <w:tblGrid>
        <w:gridCol w:w="2011"/>
        <w:gridCol w:w="146"/>
        <w:gridCol w:w="242"/>
        <w:gridCol w:w="853"/>
        <w:gridCol w:w="146"/>
        <w:gridCol w:w="146"/>
        <w:gridCol w:w="308"/>
        <w:gridCol w:w="1087"/>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 of the world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125,972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11 - Restructuring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the Company approved a restructuring plan (the "Plan") intended to realign resources as part of the Company's transition to an AI-native business. The Plan resulted in a reduction of the Company's global workforce by approximately 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July 31, 2026, the Company recognized restructuring costs of approximately $3.5 million related primarily to employee severance and other termination-related benefits. The execution of the Plan was substantially completed as of July 31, 2026, however, the elimination of certain positions outside of the United States remains subject to extended consultation requirements mandated by local jurisdictions. The Company does not expect any additional restructuring costs associated with these remaining activities to be material.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restructuring costs recognized in the condensed consolidated statements of operations for the three and six months ended July 31, 2026 (in thousands):</w:t>
      </w:r>
    </w:p>
    <w:tbl>
      <w:tblPr>
        <w:tblW w:w="3115" w:type="dxa"/>
        <w:jc w:val="left"/>
        <w:tblInd w:w="0" w:type="dxa"/>
        <w:tblLayout w:type="fixed"/>
        <w:tblCellMar>
          <w:top w:w="28" w:type="dxa"/>
          <w:left w:w="28" w:type="dxa"/>
          <w:bottom w:w="28" w:type="dxa"/>
          <w:right w:w="28" w:type="dxa"/>
        </w:tblCellMar>
      </w:tblPr>
      <w:tblGrid>
        <w:gridCol w:w="2071"/>
        <w:gridCol w:w="146"/>
        <w:gridCol w:w="196"/>
        <w:gridCol w:w="51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restructuring liability that is included in accrued expenses and other current liabilities in the condensed consolidated balance sheets (in thousands):</w:t>
      </w:r>
    </w:p>
    <w:tbl>
      <w:tblPr>
        <w:tblW w:w="3285" w:type="dxa"/>
        <w:jc w:val="left"/>
        <w:tblInd w:w="0" w:type="dxa"/>
        <w:tblLayout w:type="fixed"/>
        <w:tblCellMar>
          <w:top w:w="28" w:type="dxa"/>
          <w:left w:w="28" w:type="dxa"/>
          <w:bottom w:w="28" w:type="dxa"/>
          <w:right w:w="28" w:type="dxa"/>
        </w:tblCellMar>
      </w:tblPr>
      <w:tblGrid>
        <w:gridCol w:w="2161"/>
        <w:gridCol w:w="146"/>
        <w:gridCol w:w="196"/>
        <w:gridCol w:w="571"/>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 Net Loss Per Share Attributable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computes net loss per share utilizing the two-class method required for participating securities. Basic net loss per share is computed by dividing net loss attributable to common stockholders by the weighted-average shares of common stock outstanding during the period. Diluted net loss per share is computed by giving effect to all potential common stock, including stock options, convertible preferred stock, convertible notes, RSUs, and restricted shares, to the extent they are 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rights, including the liquidation and dividend rights, of the holders of Class A and Class B common stock are identical, except with respect to voting, conversion, and transfer rights. As the liquidation and dividend rights are identical, the undistributed earnings are allocated on a proportionate basis to each class of common stock and the resulting basic and diluted net loss per share attributable to common stockholders are, therefore, the same for both Class A and Class B common stock on both individual and combined basis.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share attributable to common stockholders was as follows (in thousands, except share and per share amounts):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104"/>
        <w:gridCol w:w="146"/>
        <w:gridCol w:w="196"/>
        <w:gridCol w:w="1006"/>
        <w:gridCol w:w="166"/>
        <w:gridCol w:w="146"/>
        <w:gridCol w:w="196"/>
        <w:gridCol w:w="1006"/>
        <w:gridCol w:w="166"/>
        <w:gridCol w:w="146"/>
        <w:gridCol w:w="196"/>
        <w:gridCol w:w="1006"/>
        <w:gridCol w:w="166"/>
        <w:gridCol w:w="146"/>
        <w:gridCol w:w="196"/>
        <w:gridCol w:w="1006"/>
        <w:gridCol w:w="211"/>
      </w:tblGrid>
      <w:tr>
        <w:trPr/>
        <w:tc>
          <w:tcPr>
            <w:tcW w:w="4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 xml:space="preserve">Weighted-average shares used in computing net loss per share </w:t>
              <w:br/>
              <w:t>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405,045,835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108,096,178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402,802,925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106,429,655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because including them would have had an anti-dilutive effect:</w:t>
      </w:r>
    </w:p>
    <w:p>
      <w:pPr>
        <w:pStyle w:val="TextBody"/>
        <w:bidi w:val="0"/>
        <w:jc w:val="both"/>
        <w:rPr/>
      </w:pPr>
      <w:r>
        <w:rPr/>
        <w:t> </w:t>
      </w:r>
    </w:p>
    <w:tbl>
      <w:tblPr>
        <w:tblW w:w="5064" w:type="dxa"/>
        <w:jc w:val="left"/>
        <w:tblInd w:w="0" w:type="dxa"/>
        <w:tblLayout w:type="fixed"/>
        <w:tblCellMar>
          <w:top w:w="28" w:type="dxa"/>
          <w:left w:w="28" w:type="dxa"/>
          <w:bottom w:w="28" w:type="dxa"/>
          <w:right w:w="28" w:type="dxa"/>
        </w:tblCellMar>
      </w:tblPr>
      <w:tblGrid>
        <w:gridCol w:w="2131"/>
        <w:gridCol w:w="146"/>
        <w:gridCol w:w="146"/>
        <w:gridCol w:w="1006"/>
        <w:gridCol w:w="146"/>
        <w:gridCol w:w="146"/>
        <w:gridCol w:w="146"/>
        <w:gridCol w:w="1006"/>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46,990,777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53,487,228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218,897,608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22,536,463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21,258,674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53,010,219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61,473,168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subject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377,882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122,710,436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355,494,560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color w:val="000000"/>
          <w:sz w:val="20"/>
        </w:rPr>
      </w:pPr>
      <w:bookmarkStart w:id="11" w:name="item_2_managements_discussion"/>
      <w:bookmarkEnd w:id="11"/>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related notes and the discussion under the heading "Management's Discussion and Analysis of Financial Condition and Results of Operations" for the year ended January 31, 2026 included in our Annual Report on Form 10-K for the fiscal year ended January 31, 2026 filed with the U.S. Securities and Exchange Commission on March 31, 2026 (our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 Our fiscal year ends on January 31, and our fiscal quarters end on April 30, July 31, October 31, and January 31.</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Unless the context otherwise requires, all references in this Quarterly Report on Form 10-Q to "we", "us", "our", "our company", and "Netskope" refer to Netskope, Inc. and its subsidiaries. Unless otherwise indicated, references to our "common stock" include our Class A common stock and Class B common stock.</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We are redefining security and networking for the era of cloud and artificial intelligence ("AI").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cloud and AI have completely revolutionized work. We are more dispersed, more productive, and more automated than ever before, and the rate of change is only accelerating. Not since the internet has there been such a transformative tectonic shift. But, with it has come collateral damage—traditional security and networking are now broken.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founded Netskope to address this revolution. We built Netskope One, our unified, cloud and AI-native platform from the ground up to solve the challenge of securing and accelerating the digital interactions of enterprises in this new era. Organizations rely on our Netskope One platform to provide profound contextual intelligence into their data and digital interactions, securing them with precision, without sacrificing the digital experience. We leverage our patented technologies to enable dynamic, granular context-aware policies that allow us to protect sensitive data, stop threats, support regulatory compliance, and elevate the digital experience.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Organizations today operate in a digital landscape that is heterogeneous and highly connected. It is comprised of globally dispersed users and non-human entities such as devices, applications, automated systems, and AI agents that interact with each other and a plethora of managed and unmanaged Software-as-a-Service applications, websites, AI, private applications, and other ecosystem applications across data centers and private and public clouds. With this new digital landscape, enterprises need a security and networking platform that can handle these far more complex, distributed, and dynamic sets of connections—all with more advanced security measures—to keep the organization, its people, and its data safe.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Legacy appliance-based and first-generation cloud security solutions were designed for a legacy internet and data footprint, where simple rules-based threat detection and block-or-allow policies were sufficient. Moreover, traditional corporate networks were not designed to support the scale, flexibility, performance, and advanced security that is essential in the cloud and AI era.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Architecture is critical when addressing these challenges. Our Netskope One platform of more than 25 security, networking, analytics, and AI products uses a unique architecture built from the ground up as a unified platform that runs on our NewEdge global private cloud network ("NewEdge network") to deliver highly secure and performant digital interactions.</w:t>
      </w:r>
    </w:p>
    <w:p>
      <w:pPr>
        <w:pStyle w:val="TextBody"/>
        <w:bidi w:val="0"/>
        <w:jc w:val="center"/>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Pace of Modernization of Security and Networking for Organizations.</w:t>
      </w:r>
      <w:r>
        <w:rPr>
          <w:rFonts w:ascii="Times New Roman" w:hAnsi="Times New Roman"/>
          <w:color w:val="000000"/>
          <w:sz w:val="20"/>
        </w:rPr>
        <w:t xml:space="preserve"> The rapid evolution of enterprise information technology is driving organizations to replace legacy systems with cloud-based and hybrid solutions, fundamentally altering the way security and networking solutions are deployed and operated. We believe that as enterprises undergo digital transformation, they increasingly rely on advanced technologies such as AI to gain granular visibility and control over information flows. This trend is compounded by the growing imperative to understand and secure data in an environment where hybrid and remote work models are common. Moreover, organizations' expanding global operations and the relentless push for improved user experience has driven the convergence of security and networking that is reshaping industry standards. While we are in the early stages of this transformation, we believe that the pace of modernization will continue to accelerate, reinforcing the demand for our platform.</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Add New Customers.</w:t>
      </w:r>
      <w:r>
        <w:rPr>
          <w:rFonts w:ascii="Times New Roman" w:hAnsi="Times New Roman"/>
          <w:color w:val="000000"/>
          <w:sz w:val="20"/>
        </w:rPr>
        <w:t xml:space="preserve"> Our ability to grow our customer base is a key indicator of both our market penetration and the future opportunities available to us.</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Retain and Expand Within Our Existing Customers.</w:t>
      </w:r>
      <w:r>
        <w:rPr>
          <w:rFonts w:ascii="Times New Roman" w:hAnsi="Times New Roman"/>
          <w:color w:val="000000"/>
          <w:sz w:val="20"/>
        </w:rPr>
        <w:t xml:space="preserve"> We believe that our ability to retain and expand within our existing customers is a testament to the technological strength and extensibility of our Netskope One platform and our customer relationships. As our customers realize tangible value from the products that they deploy, they often purchase more subscriptions, increase the number of users in more departments and geographies, and extend the number of applications covered.</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Investments in Sales and Marketing.</w:t>
      </w:r>
      <w:r>
        <w:rPr>
          <w:rFonts w:ascii="Times New Roman" w:hAnsi="Times New Roman"/>
          <w:color w:val="000000"/>
          <w:sz w:val="20"/>
        </w:rPr>
        <w:t xml:space="preserve"> We plan to continue investing in the expansion of our salesforce and channel partners to pursue attractive growth opportunities both domestically and internationally. In the Americas (which we define as the United States, Canada, and Latin America), this includes continuing the growth of our sales team, selling into the U.S. federal government market now that we have achieved U.S. Federal Risk and Authorization Management Program ("FedRAMP") High Authorization, and growing our channel partners, including managed service providers, to expand within the mid-market.</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 in Innovation.</w:t>
      </w:r>
      <w:r>
        <w:rPr>
          <w:rFonts w:ascii="Times New Roman" w:hAnsi="Times New Roman"/>
          <w:color w:val="000000"/>
          <w:sz w:val="20"/>
        </w:rPr>
        <w:t xml:space="preserve"> We plan to continue investing in research and development to drive rapid innovation, leveraging our core platform to serve our customers' needs and further strengthen our technology leadership. We believe this will lead to continued increased customer acquisition, expansion, and retention. We also intend to continue evaluating strategic acquisitions and investments in businesses and technologies that enhance our product capabilities, allow us to enter adjacent markets, and accelerate time to market.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Key Business Metric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monitor the following key metric to help us evaluate our business, measure our performance, identify trends affecting our business, formulate business plans, and make strategic decisions.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Dollar-Based Net Retention Rate ("NRR")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long-term revenue growth and achieve profitability is dependent on our ability to retain and grow revenue generated from our existing customers. We believe that we will achieve this objective by continuing to focus on customer success and loyalty and by continuously innovating our platform. Our NRR may fluctuate from period to period as we continue to expand our business. </w:t>
      </w:r>
    </w:p>
    <w:p>
      <w:pPr>
        <w:pStyle w:val="TextBody"/>
        <w:bidi w:val="0"/>
        <w:spacing w:before="120" w:after="283"/>
        <w:jc w:val="left"/>
        <w:rPr/>
      </w:pPr>
      <w:r>
        <w:rPr/>
        <w:t> </w:t>
      </w:r>
    </w:p>
    <w:tbl>
      <w:tblPr>
        <w:tblW w:w="4294" w:type="dxa"/>
        <w:jc w:val="left"/>
        <w:tblInd w:w="0" w:type="dxa"/>
        <w:tblLayout w:type="fixed"/>
        <w:tblCellMar>
          <w:top w:w="28" w:type="dxa"/>
          <w:left w:w="28" w:type="dxa"/>
          <w:bottom w:w="28" w:type="dxa"/>
          <w:right w:w="28" w:type="dxa"/>
        </w:tblCellMar>
      </w:tblPr>
      <w:tblGrid>
        <w:gridCol w:w="2401"/>
        <w:gridCol w:w="146"/>
        <w:gridCol w:w="146"/>
        <w:gridCol w:w="376"/>
        <w:gridCol w:w="256"/>
        <w:gridCol w:w="146"/>
        <w:gridCol w:w="146"/>
        <w:gridCol w:w="376"/>
        <w:gridCol w:w="30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July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Dollar-based net retention rate</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lineRule="auto" w:line="360" w:before="240" w:after="283"/>
        <w:jc w:val="left"/>
        <w:rPr>
          <w:rFonts w:ascii="Times New Roman" w:hAnsi="Times New Roman"/>
          <w:sz w:val="12"/>
        </w:rPr>
      </w:pPr>
      <w:r>
        <w:rPr>
          <w:rFonts w:ascii="Times New Roman" w:hAnsi="Times New Roman"/>
          <w:color w:val="000000"/>
          <w:sz w:val="13"/>
        </w:rPr>
        <w:t>(</w:t>
      </w:r>
      <w:r>
        <w:rPr>
          <w:rFonts w:ascii="Times New Roman" w:hAnsi="Times New Roman"/>
          <w:color w:val="000000"/>
          <w:sz w:val="12"/>
        </w:rPr>
        <w:t xml:space="preserve">1) </w:t>
      </w:r>
      <w:r>
        <w:rPr>
          <w:rFonts w:ascii="Times New Roman" w:hAnsi="Times New Roman"/>
          <w:color w:val="000000"/>
          <w:sz w:val="18"/>
        </w:rPr>
        <w:t>Our NRR reflects the percentage of our annual recurring revenue ("ARR") from existing customers, inclusive of the effects of upsell, cross-sell, contraction, and churn. We calculate this by first determining the ARR of the cohort of customers established on the same date of the prior fiscal year (the "Prior Period ARR"). We then calculate the ARR from these same subscription customers as of the current period end (the "Current Period ARR"). Current Period ARR includes any expansion and is net of contraction and churn over the trailing 12 months, but excludes ARR from new customers. We then divide the Current Period ARR by the Prior Period ARR to arrive at our NRR. In addition, we define ARR as the annualized value of our cloud subscription contracts that are active as of the measurement date, assuming any contract that expires during the next 12 months is renewed on its existing terms. Provided that we are actively negotiating a renewal or new agreement with a customer after the expiration of a contract, we continue to include that contract's annualized value in ARR until the customer notifies us of their decision not to renew. ARR excludes non-recurring components of revenue such as professional services, training, sales of hardware, and other non-recurring revenue.</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 primarily from subscriptions to the more than 25 products within our Netskope One platform, along with related support services. During the three and six months ended July 31, 2026 and 2025, subscription revenue accounted for approximately 99% of our total revenue. Customers do not take possession of cloud-based software; instead, our commitment is to provide our security, networking, analytics, and AI-platform throughout the contractual term. As a result, we recognize subscription revenue ratably over the contract term, which typically ranges from one to three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services and hardware account for an immaterial portion of our total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cost of revenue consists of direct costs associated with providing and supporting our platform and products and our related professional services, including colocation and network transit expenses to operate our global data centers, depreciation of our data center equipment, cloud infrastructure and software expenses, and amortization of capitalized internal-use software. It also includes employee-related compensation expenses, such as salaries, bonuses, stock-based compensation expense, and employee benefits for teams supporting cloud operations and customer support and service organizations, and allocated overhead costs. We continuously work on optimizing these costs through strategic partnerships, improved operational efficiencies, and technological advancements.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have made significant strategic investments to expand the global coverage of our NewEdge network to serve enterprises worldwide, which has historically increased our cost of revenue. As we have built our NewEdge network to include data centers in more than 80 unique regions with more than 200 localization zones globally, we do not anticipate future expansion requirements at the same rate. We expect the level of investment as a percentage of revenue to decrease over the long term as we realize the benefits of scale and operating leverage from previous investments we have made.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is revenue less cost of revenue and gross margin is gross profit expressed as a percentage of revenue. Both gross profit and gross margin have been and will continue to be affected by various factors, including the costs associated with infrastructure and services.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expenses consist of sales and marketing, research and development, and general and administrative expenses. Employee-related compensation expenses are the most significant component of operating expenses and consist of salaries, benefits, bonuses, stock-based compensation expense, and in the case of sales and marketing expenses, sales commissions. Operating expenses also include other non-employee costs such as cloud infrastructure expenses, office space costs, fees for third-party professional services, and costs associated with software and subscription services.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consist primarily of employee-related compensation expenses, sales commissions, marketing campaigns, marketing events, brand-building activities, promotions, and travel and entertainment expenses. Our sales and marketing strategies are comprehensive, involving direct sales efforts, channel partnerships, and digital marketing initiatives. We expect to expand our market presence both domestically and internationally, educate potential customers about the benefits of our platform and products, and drive both customer acquisition and retention.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sales and marketing expenses will increase in dollar amount as we continue to invest meaningfully in expanding our sales force, increasing our marketing efforts, and expanding into new markets, but over the long term, we expect our sales and marketing expenses as a percentage of revenue to decrease.</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employee-related compensation expenses, cloud infrastructure expenses related to the development of our platform and products, AI compute costs, consulting fees, and software and subscription services. We prioritize research and development expenses to continuously enhance our product features, security protocols, and user experience, ensuring that we can respond swiftly to new cyber threats and customer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research and development expenses to increase in dollar amount as we continue to increase investments in our technology architecture and platform. However, we anticipate research and development expenses to decrease as a percentage of our total revenue over the long term although our research and development expenses may fluctuate as a percentage of revenue from period to period depending on the timing of these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employee-related compensation expenses, and other expenses for our executive, finance, legal, and human resources organizations. General and administrative expenses also include external legal, accounting, consulting, professional services fees, software and subscription services, facilities expenses, and other corporate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As our business expands, we expect our general and administrative expenses will increase in dollar amount to support our growth, but over the long term, we expect our general and administrative expenses as a percentage of revenue to decrease.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on Changes in Fair Value of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issued 3.75% Convertible Senior Paid in Kind ("PIK") Toggle Notes due in December 2028 (the “2028 Notes”) and 3.00% Convertible Senior PIK Toggle Notes due in 2029 (the “2029 Notes”, collectively referred to as the "Convertible Notes") in December 2022 and September 2024. We have elected to account for the Convertible Notes using the fair value option under Accounting Standards Codification ("ASC") 825, Financial Instruments. As a result, we are required to determine the fair value of the Convertible Notes on a quarterly basis using a complex valuation model. If the fair value of the Convertible Notes increases during a given period, we recognize a loss on the change in fair value of Convertible Notes in our statement of operations for that period. Conversely, if the fair value of the Convertible Notes decreases, we recognize a gain on the change in fair value of Convertible Notes in that period.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primarily of interest income, amortization of premiums and accretion of discounts on investment, convertible note issuance cost, and gains and losses from foreign currency transactions.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 for income taxes consists primarily of income taxes in certain foreign jurisdictions in which we conduct business. We maintain a full valuation allowance against net U.S. federal and state deferred tax assets as it is more likely than not that they will not be realized based on our history of losses.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4, 2025, the United States enacted tax reform legislation through the One Big Beautiful Bill Act. Included in this legislation are provisions that allow for the immediate expensing of domestic U.S. research and development expenses, immediate expensing of certain capital expenditures, and other changes to the U.S. taxation of profits derived from foreign operations. Because we have a valuation allowance on our U.S. deferred tax assets, the tax law did not impact tax expense or cash paid for taxes for the three and six months ended July 31, 2026 and 2025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results of operations for the periods presented:</w:t>
      </w:r>
    </w:p>
    <w:p>
      <w:pPr>
        <w:pStyle w:val="TextBody"/>
        <w:bidi w:val="0"/>
        <w:spacing w:before="120" w:after="283"/>
        <w:jc w:val="left"/>
        <w:rPr/>
      </w:pPr>
      <w:r>
        <w:rPr/>
        <w:t> </w:t>
      </w:r>
    </w:p>
    <w:tbl>
      <w:tblPr>
        <w:tblW w:w="9319" w:type="dxa"/>
        <w:jc w:val="left"/>
        <w:tblInd w:w="0" w:type="dxa"/>
        <w:tblLayout w:type="fixed"/>
        <w:tblCellMar>
          <w:top w:w="28" w:type="dxa"/>
          <w:left w:w="28" w:type="dxa"/>
          <w:bottom w:w="28" w:type="dxa"/>
          <w:right w:w="28" w:type="dxa"/>
        </w:tblCellMar>
      </w:tblPr>
      <w:tblGrid>
        <w:gridCol w:w="3831"/>
        <w:gridCol w:w="146"/>
        <w:gridCol w:w="204"/>
        <w:gridCol w:w="782"/>
        <w:gridCol w:w="172"/>
        <w:gridCol w:w="152"/>
        <w:gridCol w:w="204"/>
        <w:gridCol w:w="719"/>
        <w:gridCol w:w="166"/>
        <w:gridCol w:w="146"/>
        <w:gridCol w:w="196"/>
        <w:gridCol w:w="751"/>
        <w:gridCol w:w="166"/>
        <w:gridCol w:w="146"/>
        <w:gridCol w:w="196"/>
        <w:gridCol w:w="751"/>
        <w:gridCol w:w="591"/>
      </w:tblGrid>
      <w:tr>
        <w:trPr/>
        <w:tc>
          <w:tcPr>
            <w:tcW w:w="3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220,541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328,494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Cost of revenue</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163,018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232,757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8"/>
              </w:rPr>
            </w:pPr>
            <w:r>
              <w:rPr>
                <w:rFonts w:ascii="Times New Roman" w:hAnsi="Times New Roman"/>
                <w:color w:val="000000"/>
                <w:sz w:val="18"/>
              </w:rPr>
              <w:t>Sales and marketing</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105,916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8"/>
              </w:rPr>
            </w:pPr>
            <w:r>
              <w:rPr>
                <w:rFonts w:ascii="Times New Roman" w:hAnsi="Times New Roman"/>
                <w:color w:val="000000"/>
                <w:sz w:val="18"/>
              </w:rPr>
              <w:t>Research and development</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101,787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8"/>
              </w:rPr>
            </w:pPr>
            <w:r>
              <w:rPr>
                <w:rFonts w:ascii="Times New Roman" w:hAnsi="Times New Roman"/>
                <w:color w:val="000000"/>
                <w:sz w:val="18"/>
              </w:rPr>
              <w:t>General and administrative</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45,114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252,817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324,080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(89,799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changes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(107,697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(164,603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(110,817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lineRule="auto" w:line="360"/>
        <w:jc w:val="left"/>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Includes stock-based compensation as follows:</w:t>
      </w:r>
      <w:r>
        <w:rPr>
          <w:rFonts w:ascii="Times New Roman" w:hAnsi="Times New Roman"/>
          <w:color w:val="000000"/>
          <w:sz w:val="13"/>
        </w:rPr>
        <w:t xml:space="preserve"> </w:t>
      </w:r>
    </w:p>
    <w:p>
      <w:pPr>
        <w:pStyle w:val="TextBody"/>
        <w:bidi w:val="0"/>
        <w:jc w:val="left"/>
        <w:rPr/>
      </w:pPr>
      <w:r>
        <w:rPr/>
        <w:t> </w:t>
      </w:r>
    </w:p>
    <w:tbl>
      <w:tblPr>
        <w:tblW w:w="8201" w:type="dxa"/>
        <w:jc w:val="left"/>
        <w:tblInd w:w="0" w:type="dxa"/>
        <w:tblLayout w:type="fixed"/>
        <w:tblCellMar>
          <w:top w:w="28" w:type="dxa"/>
          <w:left w:w="28" w:type="dxa"/>
          <w:bottom w:w="28" w:type="dxa"/>
          <w:right w:w="28" w:type="dxa"/>
        </w:tblCellMar>
      </w:tblPr>
      <w:tblGrid>
        <w:gridCol w:w="3301"/>
        <w:gridCol w:w="146"/>
        <w:gridCol w:w="244"/>
        <w:gridCol w:w="748"/>
        <w:gridCol w:w="181"/>
        <w:gridCol w:w="181"/>
        <w:gridCol w:w="244"/>
        <w:gridCol w:w="636"/>
        <w:gridCol w:w="146"/>
        <w:gridCol w:w="146"/>
        <w:gridCol w:w="202"/>
        <w:gridCol w:w="713"/>
        <w:gridCol w:w="150"/>
        <w:gridCol w:w="150"/>
        <w:gridCol w:w="202"/>
        <w:gridCol w:w="620"/>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6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56,395</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23,521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49,953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62,972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139,000</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components of our condensed consolidated statements of operations as a percentage of revenue for each of the periods presented:</w:t>
      </w:r>
    </w:p>
    <w:p>
      <w:pPr>
        <w:pStyle w:val="TextBody"/>
        <w:bidi w:val="0"/>
        <w:jc w:val="left"/>
        <w:rPr/>
      </w:pPr>
      <w:r>
        <w:rPr/>
        <w:t> </w:t>
      </w:r>
    </w:p>
    <w:tbl>
      <w:tblPr>
        <w:tblW w:w="9300" w:type="dxa"/>
        <w:jc w:val="left"/>
        <w:tblInd w:w="0" w:type="dxa"/>
        <w:tblLayout w:type="fixed"/>
        <w:tblCellMar>
          <w:top w:w="28" w:type="dxa"/>
          <w:left w:w="28" w:type="dxa"/>
          <w:bottom w:w="28" w:type="dxa"/>
          <w:right w:w="28" w:type="dxa"/>
        </w:tblCellMar>
      </w:tblPr>
      <w:tblGrid>
        <w:gridCol w:w="3831"/>
        <w:gridCol w:w="146"/>
        <w:gridCol w:w="216"/>
        <w:gridCol w:w="558"/>
        <w:gridCol w:w="469"/>
        <w:gridCol w:w="216"/>
        <w:gridCol w:w="216"/>
        <w:gridCol w:w="558"/>
        <w:gridCol w:w="316"/>
        <w:gridCol w:w="146"/>
        <w:gridCol w:w="197"/>
        <w:gridCol w:w="509"/>
        <w:gridCol w:w="428"/>
        <w:gridCol w:w="197"/>
        <w:gridCol w:w="197"/>
        <w:gridCol w:w="509"/>
        <w:gridCol w:w="591"/>
      </w:tblGrid>
      <w:tr>
        <w:trPr/>
        <w:tc>
          <w:tcPr>
            <w:tcW w:w="3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changes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rFonts w:ascii="Times New Roman" w:hAnsi="Times New Roman"/>
          <w:i/>
          <w:color w:val="000000"/>
          <w:sz w:val="20"/>
        </w:rPr>
      </w:pPr>
      <w:r>
        <w:rPr>
          <w:rFonts w:ascii="Times New Roman" w:hAnsi="Times New Roman"/>
          <w:i/>
          <w:color w:val="000000"/>
          <w:sz w:val="20"/>
        </w:rPr>
        <w:t>Note: Certain figures may not sum up due to rounding.</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Comparison of the Three Months Ended July 31, 2026 and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5230" w:type="dxa"/>
        <w:jc w:val="left"/>
        <w:tblInd w:w="0" w:type="dxa"/>
        <w:tblLayout w:type="fixed"/>
        <w:tblCellMar>
          <w:top w:w="28" w:type="dxa"/>
          <w:left w:w="28" w:type="dxa"/>
          <w:bottom w:w="28" w:type="dxa"/>
          <w:right w:w="28" w:type="dxa"/>
        </w:tblCellMar>
      </w:tblPr>
      <w:tblGrid>
        <w:gridCol w:w="736"/>
        <w:gridCol w:w="146"/>
        <w:gridCol w:w="212"/>
        <w:gridCol w:w="747"/>
        <w:gridCol w:w="158"/>
        <w:gridCol w:w="158"/>
        <w:gridCol w:w="212"/>
        <w:gridCol w:w="747"/>
        <w:gridCol w:w="146"/>
        <w:gridCol w:w="146"/>
        <w:gridCol w:w="196"/>
        <w:gridCol w:w="601"/>
        <w:gridCol w:w="146"/>
        <w:gridCol w:w="146"/>
        <w:gridCol w:w="146"/>
        <w:gridCol w:w="286"/>
        <w:gridCol w:w="30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220,541</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increased by $49.8 million, or 29%, for the three months ended July 31, 2026 compared to the three months ended July 31, 2025. The increase in revenue was driven by an increase in customers and the growing demand for our products from existing customers. Approximately 50% of the increase was driven by the addition of new customers and approximately 50% of the increase was driven by expansion within our existing customers.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 Gross Profit, and Gross Margin</w:t>
      </w:r>
    </w:p>
    <w:p>
      <w:pPr>
        <w:pStyle w:val="TextBody"/>
        <w:bidi w:val="0"/>
        <w:jc w:val="left"/>
        <w:rPr/>
      </w:pPr>
      <w:r>
        <w:rPr/>
        <w:t> </w:t>
      </w:r>
    </w:p>
    <w:tbl>
      <w:tblPr>
        <w:tblW w:w="5851" w:type="dxa"/>
        <w:jc w:val="left"/>
        <w:tblInd w:w="0" w:type="dxa"/>
        <w:tblLayout w:type="fixed"/>
        <w:tblCellMar>
          <w:top w:w="28" w:type="dxa"/>
          <w:left w:w="28" w:type="dxa"/>
          <w:bottom w:w="28" w:type="dxa"/>
          <w:right w:w="28" w:type="dxa"/>
        </w:tblCellMar>
      </w:tblPr>
      <w:tblGrid>
        <w:gridCol w:w="1246"/>
        <w:gridCol w:w="146"/>
        <w:gridCol w:w="201"/>
        <w:gridCol w:w="710"/>
        <w:gridCol w:w="263"/>
        <w:gridCol w:w="150"/>
        <w:gridCol w:w="201"/>
        <w:gridCol w:w="710"/>
        <w:gridCol w:w="256"/>
        <w:gridCol w:w="146"/>
        <w:gridCol w:w="196"/>
        <w:gridCol w:w="601"/>
        <w:gridCol w:w="146"/>
        <w:gridCol w:w="146"/>
        <w:gridCol w:w="146"/>
        <w:gridCol w:w="286"/>
        <w:gridCol w:w="30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57,523</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163,018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increased by $10.0 million, or 21%, for the three months ended July 31, 2026 compared to the three months ended July 31, 2025. Employee-related compensation expense increased by $4.4 million due to the $3.1 million stock-based compensation expense and related payroll taxes we recognized as the liquidity-based vesting condition for certain stock-based awards was met upon our initial public offering ("IPO"). In addition, colocation and network transit expenses and cloud infrastructure and software expenses increased by $3.7 million and $2.2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increased by $39.8 million, or 32%, for the three months ended July 31, 2026 compared to the three months ended July 31, 2025, and gross margin increased to 74% from 72%. The gross margin expansion was primarily due to the revenue growth driven by new customer acquisition and expansion within our existing customer base, which outpaced the growth in cost of revenue. The lower relative growth in cost of revenue reflects improved operating efficiencies in the management of our global data centers and cloud infrastructure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jc w:val="left"/>
        <w:rPr/>
      </w:pPr>
      <w:r>
        <w:rPr/>
        <w:t> </w:t>
      </w:r>
    </w:p>
    <w:tbl>
      <w:tblPr>
        <w:tblW w:w="6041" w:type="dxa"/>
        <w:jc w:val="left"/>
        <w:tblInd w:w="0" w:type="dxa"/>
        <w:tblLayout w:type="fixed"/>
        <w:tblCellMar>
          <w:top w:w="28" w:type="dxa"/>
          <w:left w:w="28" w:type="dxa"/>
          <w:bottom w:w="28" w:type="dxa"/>
          <w:right w:w="28" w:type="dxa"/>
        </w:tblCellMar>
      </w:tblPr>
      <w:tblGrid>
        <w:gridCol w:w="1546"/>
        <w:gridCol w:w="146"/>
        <w:gridCol w:w="174"/>
        <w:gridCol w:w="823"/>
        <w:gridCol w:w="174"/>
        <w:gridCol w:w="174"/>
        <w:gridCol w:w="174"/>
        <w:gridCol w:w="716"/>
        <w:gridCol w:w="146"/>
        <w:gridCol w:w="146"/>
        <w:gridCol w:w="196"/>
        <w:gridCol w:w="601"/>
        <w:gridCol w:w="146"/>
        <w:gridCol w:w="146"/>
        <w:gridCol w:w="146"/>
        <w:gridCol w:w="286"/>
        <w:gridCol w:w="30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105,916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Sales and marketing expenses increased by $27.9 million, or 36%, for the three months ended July 31, 2026 compared to the three months ended July 31, 2025. Employee-related compensation expense increased by $21.2 million, primarily due to the growth in headcount as well as the $7.7 million stock-based compensation expense and related payroll taxes we recognized as the liquidity-based vesting condition for certain stock-based awards was met upon our IPO. In addition, amortization of capitalized sales commissions and marketing-related expenses increased by $3.3 million and $1.6 million,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pPr>
      <w:r>
        <w:rPr/>
        <w:t> </w:t>
      </w:r>
    </w:p>
    <w:tbl>
      <w:tblPr>
        <w:tblW w:w="6504" w:type="dxa"/>
        <w:jc w:val="left"/>
        <w:tblInd w:w="0" w:type="dxa"/>
        <w:tblLayout w:type="fixed"/>
        <w:tblCellMar>
          <w:top w:w="28" w:type="dxa"/>
          <w:left w:w="28" w:type="dxa"/>
          <w:bottom w:w="28" w:type="dxa"/>
          <w:right w:w="28" w:type="dxa"/>
        </w:tblCellMar>
      </w:tblPr>
      <w:tblGrid>
        <w:gridCol w:w="2011"/>
        <w:gridCol w:w="146"/>
        <w:gridCol w:w="221"/>
        <w:gridCol w:w="781"/>
        <w:gridCol w:w="165"/>
        <w:gridCol w:w="165"/>
        <w:gridCol w:w="221"/>
        <w:gridCol w:w="680"/>
        <w:gridCol w:w="146"/>
        <w:gridCol w:w="146"/>
        <w:gridCol w:w="196"/>
        <w:gridCol w:w="601"/>
        <w:gridCol w:w="146"/>
        <w:gridCol w:w="146"/>
        <w:gridCol w:w="146"/>
        <w:gridCol w:w="286"/>
        <w:gridCol w:w="30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101,787</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increased by $28.9 million, or 40%, for the three months ended July 31, 2026 compared to the three months ended July 31, 2025. Employee-related compensation expense increased by $31.2 million due to the $22.0 million stock-based compensation expense and related payroll taxes we recognized as the liquidity-based vesting condition for certain stock-based awards was met upon our IPO. The remaining increase in employee-related compensation expense was primarily attributable to higher average headcount compared to the prior-year period and restructuring-related costs recognized during the current period. These increases were partially offset by a $5.1 million decrease in outside services expense.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jc w:val="left"/>
        <w:rPr/>
      </w:pPr>
      <w:r>
        <w:rPr/>
        <w:t> </w:t>
      </w:r>
    </w:p>
    <w:tbl>
      <w:tblPr>
        <w:tblW w:w="6595" w:type="dxa"/>
        <w:jc w:val="left"/>
        <w:tblInd w:w="0" w:type="dxa"/>
        <w:tblLayout w:type="fixed"/>
        <w:tblCellMar>
          <w:top w:w="28" w:type="dxa"/>
          <w:left w:w="28" w:type="dxa"/>
          <w:bottom w:w="28" w:type="dxa"/>
          <w:right w:w="28" w:type="dxa"/>
        </w:tblCellMar>
      </w:tblPr>
      <w:tblGrid>
        <w:gridCol w:w="2011"/>
        <w:gridCol w:w="146"/>
        <w:gridCol w:w="232"/>
        <w:gridCol w:w="712"/>
        <w:gridCol w:w="173"/>
        <w:gridCol w:w="173"/>
        <w:gridCol w:w="232"/>
        <w:gridCol w:w="712"/>
        <w:gridCol w:w="146"/>
        <w:gridCol w:w="146"/>
        <w:gridCol w:w="196"/>
        <w:gridCol w:w="601"/>
        <w:gridCol w:w="146"/>
        <w:gridCol w:w="146"/>
        <w:gridCol w:w="146"/>
        <w:gridCol w:w="376"/>
        <w:gridCol w:w="30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45,114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$26.8 million, or 146%, for the three months ended July 31, 2026 compared to the three months ended July 31, 2025. Employee-related compensation expense increased by $25.1 million due to the $23.6 million stock-based compensation expense and related payroll taxes we recognized as the liquidity-based vesting condition for certain stock-based awards was met upon our IPO.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on Changes in Fair Value of Convertible Notes</w:t>
      </w:r>
    </w:p>
    <w:p>
      <w:pPr>
        <w:pStyle w:val="TextBody"/>
        <w:bidi w:val="0"/>
        <w:jc w:val="left"/>
        <w:rPr/>
      </w:pPr>
      <w:r>
        <w:rPr/>
        <w:t> </w:t>
      </w:r>
    </w:p>
    <w:tbl>
      <w:tblPr>
        <w:tblW w:w="8265" w:type="dxa"/>
        <w:jc w:val="left"/>
        <w:tblInd w:w="0" w:type="dxa"/>
        <w:tblLayout w:type="fixed"/>
        <w:tblCellMar>
          <w:top w:w="28" w:type="dxa"/>
          <w:left w:w="28" w:type="dxa"/>
          <w:bottom w:w="28" w:type="dxa"/>
          <w:right w:w="28" w:type="dxa"/>
        </w:tblCellMar>
      </w:tblPr>
      <w:tblGrid>
        <w:gridCol w:w="3631"/>
        <w:gridCol w:w="146"/>
        <w:gridCol w:w="216"/>
        <w:gridCol w:w="729"/>
        <w:gridCol w:w="183"/>
        <w:gridCol w:w="161"/>
        <w:gridCol w:w="216"/>
        <w:gridCol w:w="729"/>
        <w:gridCol w:w="166"/>
        <w:gridCol w:w="146"/>
        <w:gridCol w:w="196"/>
        <w:gridCol w:w="601"/>
        <w:gridCol w:w="146"/>
        <w:gridCol w:w="146"/>
        <w:gridCol w:w="146"/>
        <w:gridCol w:w="346"/>
        <w:gridCol w:w="36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changes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Loss on changes in fair value of Convertible Notes decreased by $17.4 million, or 40%, for the three months ended July 31, 2026 compared to the three months ended July 31, 2025. We continued to recognize fair value losses driven by accrued interest associated with the payment-in-kind ("PIK") nature of the Convertible Notes and the increase in our stock price, which increased the value of the embedded conversion features. The losses were partially offset by the increase in risk-free interest rates which increased the discount rate applied in the valuation and reduced the present value of the Convertible Notes. As such, the loss on changes in fair value of Convertible Notes during the three months ended July 31, 2026 was lower compared to the same period last fiscal year.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jc w:val="left"/>
        <w:rPr/>
      </w:pPr>
      <w:r>
        <w:rPr/>
        <w:t> </w:t>
      </w:r>
    </w:p>
    <w:tbl>
      <w:tblPr>
        <w:tblW w:w="5873" w:type="dxa"/>
        <w:jc w:val="left"/>
        <w:tblInd w:w="0" w:type="dxa"/>
        <w:tblLayout w:type="fixed"/>
        <w:tblCellMar>
          <w:top w:w="28" w:type="dxa"/>
          <w:left w:w="28" w:type="dxa"/>
          <w:bottom w:w="28" w:type="dxa"/>
          <w:right w:w="28" w:type="dxa"/>
        </w:tblCellMar>
      </w:tblPr>
      <w:tblGrid>
        <w:gridCol w:w="1381"/>
        <w:gridCol w:w="146"/>
        <w:gridCol w:w="256"/>
        <w:gridCol w:w="669"/>
        <w:gridCol w:w="191"/>
        <w:gridCol w:w="191"/>
        <w:gridCol w:w="256"/>
        <w:gridCol w:w="669"/>
        <w:gridCol w:w="146"/>
        <w:gridCol w:w="146"/>
        <w:gridCol w:w="196"/>
        <w:gridCol w:w="511"/>
        <w:gridCol w:w="146"/>
        <w:gridCol w:w="146"/>
        <w:gridCol w:w="146"/>
        <w:gridCol w:w="376"/>
        <w:gridCol w:w="30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net increased by $6.5 million, or 307%, for the three months ended July 31, 2026 compared to the three months ended July 31, 2025. The increase was mainly due to a $6.0 million increase in interest income.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left"/>
        <w:rPr/>
      </w:pPr>
      <w:r>
        <w:rPr/>
        <w:t> </w:t>
      </w:r>
    </w:p>
    <w:tbl>
      <w:tblPr>
        <w:tblW w:w="6293" w:type="dxa"/>
        <w:jc w:val="left"/>
        <w:tblInd w:w="0" w:type="dxa"/>
        <w:tblLayout w:type="fixed"/>
        <w:tblCellMar>
          <w:top w:w="28" w:type="dxa"/>
          <w:left w:w="28" w:type="dxa"/>
          <w:bottom w:w="28" w:type="dxa"/>
          <w:right w:w="28" w:type="dxa"/>
        </w:tblCellMar>
      </w:tblPr>
      <w:tblGrid>
        <w:gridCol w:w="2026"/>
        <w:gridCol w:w="146"/>
        <w:gridCol w:w="256"/>
        <w:gridCol w:w="669"/>
        <w:gridCol w:w="191"/>
        <w:gridCol w:w="191"/>
        <w:gridCol w:w="256"/>
        <w:gridCol w:w="669"/>
        <w:gridCol w:w="146"/>
        <w:gridCol w:w="146"/>
        <w:gridCol w:w="196"/>
        <w:gridCol w:w="376"/>
        <w:gridCol w:w="146"/>
        <w:gridCol w:w="146"/>
        <w:gridCol w:w="146"/>
        <w:gridCol w:w="286"/>
        <w:gridCol w:w="30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 increased by $0.6 million, or 26%, for the three months ended July 31, 2026 compared to the three months ended July 31, 2025, primarily due to higher foreign tax liabilities in fiscal 2027 in our foreign jurisdictions due to increased expansion internationally.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Comparison of the Six Months Ended July 31, 2026 and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5062" w:type="dxa"/>
        <w:jc w:val="left"/>
        <w:tblInd w:w="0" w:type="dxa"/>
        <w:tblLayout w:type="fixed"/>
        <w:tblCellMar>
          <w:top w:w="28" w:type="dxa"/>
          <w:left w:w="28" w:type="dxa"/>
          <w:bottom w:w="28" w:type="dxa"/>
          <w:right w:w="28" w:type="dxa"/>
        </w:tblCellMar>
      </w:tblPr>
      <w:tblGrid>
        <w:gridCol w:w="736"/>
        <w:gridCol w:w="146"/>
        <w:gridCol w:w="196"/>
        <w:gridCol w:w="691"/>
        <w:gridCol w:w="146"/>
        <w:gridCol w:w="146"/>
        <w:gridCol w:w="196"/>
        <w:gridCol w:w="691"/>
        <w:gridCol w:w="146"/>
        <w:gridCol w:w="146"/>
        <w:gridCol w:w="196"/>
        <w:gridCol w:w="601"/>
        <w:gridCol w:w="146"/>
        <w:gridCol w:w="146"/>
        <w:gridCol w:w="146"/>
        <w:gridCol w:w="286"/>
        <w:gridCol w:w="30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increased by $93.6 million, or 29%, for the six months ended July 31, 2026 compared to the six months ended July 31, 2025. The increase in revenue was driven by an increase in customers and the growing demand for our products from existing customers. Approximately 55% of the increase was driven by expansion within our existing customers and approximately 45% of the increase was driven by the addition of new customers.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 Gross Profit, and Gross Margin</w:t>
      </w:r>
    </w:p>
    <w:p>
      <w:pPr>
        <w:pStyle w:val="TextBody"/>
        <w:bidi w:val="0"/>
        <w:jc w:val="left"/>
        <w:rPr/>
      </w:pPr>
      <w:r>
        <w:rPr/>
        <w:t> </w:t>
      </w:r>
    </w:p>
    <w:tbl>
      <w:tblPr>
        <w:tblW w:w="5792" w:type="dxa"/>
        <w:jc w:val="left"/>
        <w:tblInd w:w="0" w:type="dxa"/>
        <w:tblLayout w:type="fixed"/>
        <w:tblCellMar>
          <w:top w:w="28" w:type="dxa"/>
          <w:left w:w="28" w:type="dxa"/>
          <w:bottom w:w="28" w:type="dxa"/>
          <w:right w:w="28" w:type="dxa"/>
        </w:tblCellMar>
      </w:tblPr>
      <w:tblGrid>
        <w:gridCol w:w="1246"/>
        <w:gridCol w:w="146"/>
        <w:gridCol w:w="196"/>
        <w:gridCol w:w="691"/>
        <w:gridCol w:w="256"/>
        <w:gridCol w:w="146"/>
        <w:gridCol w:w="196"/>
        <w:gridCol w:w="691"/>
        <w:gridCol w:w="256"/>
        <w:gridCol w:w="146"/>
        <w:gridCol w:w="196"/>
        <w:gridCol w:w="601"/>
        <w:gridCol w:w="146"/>
        <w:gridCol w:w="146"/>
        <w:gridCol w:w="146"/>
        <w:gridCol w:w="286"/>
        <w:gridCol w:w="30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232,757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increased by $15.1 million, or 16%, for the six months ended July 31, 2026 compared to the six months ended July 31, 2025. Employee-related compensation expense increased by $9.4 million due to the $6.5 million stock-based compensation expense and related payroll taxes we recognized as the liquidity-based vesting condition for certain stock-based awards was met upon our IPO. In addition, colocation and network transit expenses and cloud infrastructure and software expense increased by $8.0 million and $1.4 million, respectively. The increase was partially offset by a $4.5 million decrease in amortization of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increased by $78.5 million, or 34% for the six months ended July 31, 2026 compared to the six months ended July 31, 2025, and gross margin increased to 74% from 71%. The gross margin expansion was primarily due to the revenue growth driven by new customer acquisition and expansion within our existing customer base, which outpaced the growth in cost of revenue. The lower relative growth in cost of revenue reflects improved operating efficiencies in the management of our global data centers and cloud infrastructure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jc w:val="left"/>
        <w:rPr/>
      </w:pPr>
      <w:r>
        <w:rPr/>
        <w:t> </w:t>
      </w:r>
    </w:p>
    <w:tbl>
      <w:tblPr>
        <w:tblW w:w="5844" w:type="dxa"/>
        <w:jc w:val="left"/>
        <w:tblInd w:w="0" w:type="dxa"/>
        <w:tblLayout w:type="fixed"/>
        <w:tblCellMar>
          <w:top w:w="28" w:type="dxa"/>
          <w:left w:w="28" w:type="dxa"/>
          <w:bottom w:w="28" w:type="dxa"/>
          <w:right w:w="28" w:type="dxa"/>
        </w:tblCellMar>
      </w:tblPr>
      <w:tblGrid>
        <w:gridCol w:w="1546"/>
        <w:gridCol w:w="146"/>
        <w:gridCol w:w="151"/>
        <w:gridCol w:w="717"/>
        <w:gridCol w:w="151"/>
        <w:gridCol w:w="151"/>
        <w:gridCol w:w="151"/>
        <w:gridCol w:w="717"/>
        <w:gridCol w:w="146"/>
        <w:gridCol w:w="146"/>
        <w:gridCol w:w="196"/>
        <w:gridCol w:w="601"/>
        <w:gridCol w:w="146"/>
        <w:gridCol w:w="146"/>
        <w:gridCol w:w="146"/>
        <w:gridCol w:w="286"/>
        <w:gridCol w:w="30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5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increased by $64.2 million, or 44%, for the six months ended July 31, 2026 compared to the six months ended July 31, 2025. Employee-related compensation expense increased by $45.1 million, primarily due to the growth in headcount as well as the $18.7 million stock-based compensation expense and related payroll taxes we recognized as the liquidity-based vesting condition for certain stock-based awards was met upon our IPO. In addition, marketing-related expenses and amortization of capitalized sales commissions increased by $8.9 million and $7.1 million, respectively.</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pPr>
      <w:r>
        <w:rPr/>
        <w:t> </w:t>
      </w:r>
    </w:p>
    <w:tbl>
      <w:tblPr>
        <w:tblW w:w="6337" w:type="dxa"/>
        <w:jc w:val="left"/>
        <w:tblInd w:w="0" w:type="dxa"/>
        <w:tblLayout w:type="fixed"/>
        <w:tblCellMar>
          <w:top w:w="28" w:type="dxa"/>
          <w:left w:w="28" w:type="dxa"/>
          <w:bottom w:w="28" w:type="dxa"/>
          <w:right w:w="28" w:type="dxa"/>
        </w:tblCellMar>
      </w:tblPr>
      <w:tblGrid>
        <w:gridCol w:w="2011"/>
        <w:gridCol w:w="146"/>
        <w:gridCol w:w="196"/>
        <w:gridCol w:w="691"/>
        <w:gridCol w:w="146"/>
        <w:gridCol w:w="146"/>
        <w:gridCol w:w="196"/>
        <w:gridCol w:w="691"/>
        <w:gridCol w:w="146"/>
        <w:gridCol w:w="146"/>
        <w:gridCol w:w="196"/>
        <w:gridCol w:w="601"/>
        <w:gridCol w:w="146"/>
        <w:gridCol w:w="146"/>
        <w:gridCol w:w="146"/>
        <w:gridCol w:w="286"/>
        <w:gridCol w:w="30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increased by $66.8 million, or 47%, for the six months ended July 31, 2026 compared to the six months ended July 31, 2025. Employee-related compensation expense increased by $67.2 million due to the $48.5 million stock-based compensation expense and related payroll taxes we recognized as the liquidity-based vesting condition for certain stock-based awards was met upon our IPO. The remaining increase in employee-related compensation expense was primarily attributable to higher average headcount compared to the prior-year period and restructuring-related costs recognized during the current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jc w:val="left"/>
        <w:rPr/>
      </w:pPr>
      <w:r>
        <w:rPr/>
        <w:t> </w:t>
      </w:r>
    </w:p>
    <w:tbl>
      <w:tblPr>
        <w:tblW w:w="6399" w:type="dxa"/>
        <w:jc w:val="left"/>
        <w:tblInd w:w="0" w:type="dxa"/>
        <w:tblLayout w:type="fixed"/>
        <w:tblCellMar>
          <w:top w:w="28" w:type="dxa"/>
          <w:left w:w="28" w:type="dxa"/>
          <w:bottom w:w="28" w:type="dxa"/>
          <w:right w:w="28" w:type="dxa"/>
        </w:tblCellMar>
      </w:tblPr>
      <w:tblGrid>
        <w:gridCol w:w="2011"/>
        <w:gridCol w:w="146"/>
        <w:gridCol w:w="212"/>
        <w:gridCol w:w="650"/>
        <w:gridCol w:w="157"/>
        <w:gridCol w:w="157"/>
        <w:gridCol w:w="212"/>
        <w:gridCol w:w="650"/>
        <w:gridCol w:w="146"/>
        <w:gridCol w:w="146"/>
        <w:gridCol w:w="196"/>
        <w:gridCol w:w="601"/>
        <w:gridCol w:w="146"/>
        <w:gridCol w:w="146"/>
        <w:gridCol w:w="146"/>
        <w:gridCol w:w="376"/>
        <w:gridCol w:w="30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90,710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$54.8 million, or 153%, for the six months ended July 31, 2026 compared to the six months ended July 31, 2025. Employee-related compensation expense increased by $53.0 million due to the $49.8 million stock-based compensation expense and related payroll taxes we recognized as the liquidity-based vesting condition for certain stock-based awards was met upon our IPO.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on Changes in Fair Value of Convertible Notes</w:t>
      </w:r>
    </w:p>
    <w:p>
      <w:pPr>
        <w:pStyle w:val="TextBody"/>
        <w:bidi w:val="0"/>
        <w:jc w:val="left"/>
        <w:rPr/>
      </w:pPr>
      <w:r>
        <w:rPr/>
        <w:t> </w:t>
      </w:r>
    </w:p>
    <w:tbl>
      <w:tblPr>
        <w:tblW w:w="8069" w:type="dxa"/>
        <w:jc w:val="left"/>
        <w:tblInd w:w="0" w:type="dxa"/>
        <w:tblLayout w:type="fixed"/>
        <w:tblCellMar>
          <w:top w:w="28" w:type="dxa"/>
          <w:left w:w="28" w:type="dxa"/>
          <w:bottom w:w="28" w:type="dxa"/>
          <w:right w:w="28" w:type="dxa"/>
        </w:tblCellMar>
      </w:tblPr>
      <w:tblGrid>
        <w:gridCol w:w="3631"/>
        <w:gridCol w:w="146"/>
        <w:gridCol w:w="197"/>
        <w:gridCol w:w="665"/>
        <w:gridCol w:w="167"/>
        <w:gridCol w:w="147"/>
        <w:gridCol w:w="197"/>
        <w:gridCol w:w="665"/>
        <w:gridCol w:w="166"/>
        <w:gridCol w:w="146"/>
        <w:gridCol w:w="196"/>
        <w:gridCol w:w="601"/>
        <w:gridCol w:w="146"/>
        <w:gridCol w:w="146"/>
        <w:gridCol w:w="146"/>
        <w:gridCol w:w="346"/>
        <w:gridCol w:w="36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changes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(38,753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Loss on changes in fair value of Convertible Notes decreased by $38.6 million, or 50%, for the six months ended July 31, 2026 compared to the six months ended July 31, 2025. We continued to recognize fair value losses driven by accrued interest associated with the PIK nature of the Convertible Notes and the increase in our stock price, which increased the value of the embedded conversion features. The losses were partially offset by the increase in risk-free interest rates, which increased the discount rate applied in the valuation and reduced the present value of the Convertible Notes. As such, the loss on changes in fair value of Convertible Notes during the six months ended July 31, 2026 was lower compared to the same period last fiscal year.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jc w:val="left"/>
        <w:rPr/>
      </w:pPr>
      <w:r>
        <w:rPr/>
        <w:t> </w:t>
      </w:r>
    </w:p>
    <w:tbl>
      <w:tblPr>
        <w:tblW w:w="5767" w:type="dxa"/>
        <w:jc w:val="left"/>
        <w:tblInd w:w="0" w:type="dxa"/>
        <w:tblLayout w:type="fixed"/>
        <w:tblCellMar>
          <w:top w:w="28" w:type="dxa"/>
          <w:left w:w="28" w:type="dxa"/>
          <w:bottom w:w="28" w:type="dxa"/>
          <w:right w:w="28" w:type="dxa"/>
        </w:tblCellMar>
      </w:tblPr>
      <w:tblGrid>
        <w:gridCol w:w="1381"/>
        <w:gridCol w:w="146"/>
        <w:gridCol w:w="222"/>
        <w:gridCol w:w="682"/>
        <w:gridCol w:w="165"/>
        <w:gridCol w:w="165"/>
        <w:gridCol w:w="222"/>
        <w:gridCol w:w="580"/>
        <w:gridCol w:w="146"/>
        <w:gridCol w:w="146"/>
        <w:gridCol w:w="196"/>
        <w:gridCol w:w="601"/>
        <w:gridCol w:w="146"/>
        <w:gridCol w:w="146"/>
        <w:gridCol w:w="146"/>
        <w:gridCol w:w="376"/>
        <w:gridCol w:w="30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16,152</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increased by $12.0 million, or 292%, for the six months ended July 31, 2026 compared to the six months ended July 31, 2025. The increase was mainly due to a $10.2 million increase in interest income.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left"/>
        <w:rPr/>
      </w:pPr>
      <w:r>
        <w:rPr/>
        <w:t> </w:t>
      </w:r>
    </w:p>
    <w:tbl>
      <w:tblPr>
        <w:tblW w:w="6234" w:type="dxa"/>
        <w:jc w:val="left"/>
        <w:tblInd w:w="0" w:type="dxa"/>
        <w:tblLayout w:type="fixed"/>
        <w:tblCellMar>
          <w:top w:w="28" w:type="dxa"/>
          <w:left w:w="28" w:type="dxa"/>
          <w:bottom w:w="28" w:type="dxa"/>
          <w:right w:w="28" w:type="dxa"/>
        </w:tblCellMar>
      </w:tblPr>
      <w:tblGrid>
        <w:gridCol w:w="2026"/>
        <w:gridCol w:w="146"/>
        <w:gridCol w:w="234"/>
        <w:gridCol w:w="611"/>
        <w:gridCol w:w="174"/>
        <w:gridCol w:w="174"/>
        <w:gridCol w:w="234"/>
        <w:gridCol w:w="611"/>
        <w:gridCol w:w="146"/>
        <w:gridCol w:w="146"/>
        <w:gridCol w:w="196"/>
        <w:gridCol w:w="511"/>
        <w:gridCol w:w="146"/>
        <w:gridCol w:w="146"/>
        <w:gridCol w:w="146"/>
        <w:gridCol w:w="286"/>
        <w:gridCol w:w="30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 increased by $1.2 million, or 25%, for the six months ended July 31, 2026 compared to the six months ended July 31, 2025, primarily due to higher foreign tax liabilities in fiscal 2027 in our foreign jurisdictions due to increased expansion internationally.</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following non-GAAP measures are useful in evaluating our operating performance. We use the following non-GAAP financial information to evaluate our business, measure our performance, identify trends affecting our business, formulate business plans, and make strategic decisions.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Other companies, including companies in our industry, may calculate similarly titled non-GAAP measures differently or may use other measures to evaluate their performance, all of which could reduce the usefulness of our non-GAAP financial measures as tools for comparison.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Non-GAAP Gross Profit and Non-GAAP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gross profit and non-GAAP gross margin are defined as GAAP gross profit and GAAP gross margin, respectively, excluding stock-based compensation and related tax expense and amortization of acquired intangible assets. We believe these non-GAAP measures offer additional consistency and comparability with our historical financial performance, providing management and investors with more meaningful period-to-period comparisons. These metrics are designed to remove the impact of certain variables that can fluctuate for reasons unrelated to our underlying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our non-GAAP gross profit to our gross profit and of our non-GAAP gross margin to our gross margin, for each of the periods presented:</w:t>
      </w:r>
    </w:p>
    <w:p>
      <w:pPr>
        <w:pStyle w:val="TextBody"/>
        <w:bidi w:val="0"/>
        <w:jc w:val="left"/>
        <w:rPr/>
      </w:pPr>
      <w:r>
        <w:rPr/>
        <w:t> </w:t>
      </w:r>
    </w:p>
    <w:tbl>
      <w:tblPr>
        <w:tblW w:w="9506" w:type="dxa"/>
        <w:jc w:val="left"/>
        <w:tblInd w:w="0" w:type="dxa"/>
        <w:tblLayout w:type="fixed"/>
        <w:tblCellMar>
          <w:top w:w="28" w:type="dxa"/>
          <w:left w:w="28" w:type="dxa"/>
          <w:bottom w:w="28" w:type="dxa"/>
          <w:right w:w="28" w:type="dxa"/>
        </w:tblCellMar>
      </w:tblPr>
      <w:tblGrid>
        <w:gridCol w:w="4246"/>
        <w:gridCol w:w="146"/>
        <w:gridCol w:w="201"/>
        <w:gridCol w:w="710"/>
        <w:gridCol w:w="263"/>
        <w:gridCol w:w="150"/>
        <w:gridCol w:w="201"/>
        <w:gridCol w:w="710"/>
        <w:gridCol w:w="256"/>
        <w:gridCol w:w="146"/>
        <w:gridCol w:w="196"/>
        <w:gridCol w:w="691"/>
        <w:gridCol w:w="256"/>
        <w:gridCol w:w="146"/>
        <w:gridCol w:w="196"/>
        <w:gridCol w:w="691"/>
        <w:gridCol w:w="30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220,541</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170,758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422,133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328,494</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163,018</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232,757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 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3,581</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 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169,133</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127,258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323,764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243,373</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non-GAAP gross margin will increase over the long term through improved operational efficiencies, scale benefits, and technological advancements.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Non-GAAP Loss from Operations and Non-GAAP Operating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loss from operations and non-GAAP operating margin are defined as GAAP loss from operations and GAAP operating margin, respectively, excluding stock-based compensation expense and related taxes, amortization of acquired intangible assets, and restructuring costs. We believe these non-GAAP measures offer our management and investors additional consistency and comparability with our historical financial performance, enabling more meaningful period-to-period comparisons. These metrics are designed to remove the impact of certain variables that can fluctuate for reasons unrelated to our underlying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our non-GAAP loss from operations to our loss from operations and of our non-GAAP operating margin to our operating margin, for each of the periods presented:</w:t>
      </w:r>
    </w:p>
    <w:p>
      <w:pPr>
        <w:pStyle w:val="TextBody"/>
        <w:bidi w:val="0"/>
        <w:jc w:val="left"/>
        <w:rPr/>
      </w:pPr>
      <w:r>
        <w:rPr/>
        <w:t> </w:t>
      </w:r>
    </w:p>
    <w:tbl>
      <w:tblPr>
        <w:tblW w:w="9747" w:type="dxa"/>
        <w:jc w:val="left"/>
        <w:tblInd w:w="0" w:type="dxa"/>
        <w:tblLayout w:type="fixed"/>
        <w:tblCellMar>
          <w:top w:w="28" w:type="dxa"/>
          <w:left w:w="28" w:type="dxa"/>
          <w:bottom w:w="28" w:type="dxa"/>
          <w:right w:w="28" w:type="dxa"/>
        </w:tblCellMar>
      </w:tblPr>
      <w:tblGrid>
        <w:gridCol w:w="4246"/>
        <w:gridCol w:w="146"/>
        <w:gridCol w:w="196"/>
        <w:gridCol w:w="691"/>
        <w:gridCol w:w="316"/>
        <w:gridCol w:w="146"/>
        <w:gridCol w:w="196"/>
        <w:gridCol w:w="691"/>
        <w:gridCol w:w="316"/>
        <w:gridCol w:w="146"/>
        <w:gridCol w:w="196"/>
        <w:gridCol w:w="751"/>
        <w:gridCol w:w="316"/>
        <w:gridCol w:w="146"/>
        <w:gridCol w:w="196"/>
        <w:gridCol w:w="691"/>
        <w:gridCol w:w="36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220,541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170,758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422,133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328,494</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(91,323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 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 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 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(19,319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(33,969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(48,521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(62,556</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non-GAAP operating margin to improve over the long term through continued operational efficiencies, scale benefits, and technological advancements.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Free Cash Flow and Free Cash Flow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Free cash flow is defined as net cash used in operating activities less purchases of property and equipment and capitalized internal-use software. Free cash flow margin is determined by dividing free cash flow by revenue. We believe that free cash flow and free cash flow margin serve as valuable indicators of liquidity, providing management and investors with insights into the cash generated from our operations. After accounting for investments in property and equipment and internal-use software, this cash is available for strategic initiatives, such as investing in our business and strengthening our financial position. Free cash flow does not represent the total change in our cash balance in any given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and provides a reconciliation of free cash flow to net cash (used in) provided by operating activities and of our free cash flow margin to our net cash (used in) provided by operating activities as a percentage of revenue for each of the periods presented:</w:t>
      </w:r>
    </w:p>
    <w:p>
      <w:pPr>
        <w:pStyle w:val="TextBody"/>
        <w:bidi w:val="0"/>
        <w:jc w:val="left"/>
        <w:rPr/>
      </w:pPr>
      <w:r>
        <w:rPr/>
        <w:t> </w:t>
      </w:r>
    </w:p>
    <w:tbl>
      <w:tblPr>
        <w:tblW w:w="8622" w:type="dxa"/>
        <w:jc w:val="left"/>
        <w:tblInd w:w="0" w:type="dxa"/>
        <w:tblLayout w:type="fixed"/>
        <w:tblCellMar>
          <w:top w:w="28" w:type="dxa"/>
          <w:left w:w="28" w:type="dxa"/>
          <w:bottom w:w="28" w:type="dxa"/>
          <w:right w:w="28" w:type="dxa"/>
        </w:tblCellMar>
      </w:tblPr>
      <w:tblGrid>
        <w:gridCol w:w="5581"/>
        <w:gridCol w:w="146"/>
        <w:gridCol w:w="238"/>
        <w:gridCol w:w="803"/>
        <w:gridCol w:w="384"/>
        <w:gridCol w:w="177"/>
        <w:gridCol w:w="238"/>
        <w:gridCol w:w="694"/>
        <w:gridCol w:w="361"/>
      </w:tblGrid>
      <w:tr>
        <w:trPr/>
        <w:tc>
          <w:tcPr>
            <w:tcW w:w="5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 except percentages)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(70,452</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(15,162</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Capitalization of internal-use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(86,963</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operating activities as a percentage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Free cash flow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free cash flow and free cash flow margin to improve over the long term through continued operational efficiencies, scale benefits, and technological advancements, however, the improvement is not expected to be linear.</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our IPO, we financed operations primarily through private placements of our equity securities, issuance of convertible notes, and payments received from our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we closed our IPO of our Class A common stock. We received aggregate proceeds of approximately $992.2 million after deducting underwriting discounts and commissions. As of July 31, 2026, our principal source of liquidity was available cash, cash equivalents, and marketable securities aggregating to $1.1 billion.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generated operating losses, as reflected in our accumulated deficit of $2.9 billion as of July 31, 2026. While we generated negative cash flows from operating activities in the first half of fiscal 2027, we generated positive operating cash flows in the fourth quarter of fiscal 2025, and the first quarter, third quarter, and fourth quarter of fiscal 2026. We anticipate continued improvement over the long term. Notwithstanding the foregoing, we may continue to incur operating losses and generate negative cash flows from operations in the future due to the investments we intend to continue to make in our business. As a result, we may require additional capital resources to execute strategic initiatives to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cash equivalents, and marketable securities will be sufficient to support our working capital and capital expenditure requirements for at least the next 12 months. Our future capital requirements will depend on many factors, including but not limited to our obligation to repay any balance under our Convertible Notes, our revenue growth rate, timing of cash receipt and payments, and the timing and extent of spending to support strategic initiatives.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 for the periods presented:</w:t>
      </w:r>
    </w:p>
    <w:p>
      <w:pPr>
        <w:pStyle w:val="TextBody"/>
        <w:bidi w:val="0"/>
        <w:jc w:val="left"/>
        <w:rPr/>
      </w:pPr>
      <w:r>
        <w:rPr/>
        <w:t> </w:t>
      </w:r>
    </w:p>
    <w:tbl>
      <w:tblPr>
        <w:tblW w:w="6069" w:type="dxa"/>
        <w:jc w:val="left"/>
        <w:tblInd w:w="0" w:type="dxa"/>
        <w:tblLayout w:type="fixed"/>
        <w:tblCellMar>
          <w:top w:w="28" w:type="dxa"/>
          <w:left w:w="28" w:type="dxa"/>
          <w:bottom w:w="28" w:type="dxa"/>
          <w:right w:w="28" w:type="dxa"/>
        </w:tblCellMar>
      </w:tblPr>
      <w:tblGrid>
        <w:gridCol w:w="3676"/>
        <w:gridCol w:w="146"/>
        <w:gridCol w:w="196"/>
        <w:gridCol w:w="751"/>
        <w:gridCol w:w="166"/>
        <w:gridCol w:w="146"/>
        <w:gridCol w:w="196"/>
        <w:gridCol w:w="60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primary source of cash provided by operations is revenue. Our primary use of cash in our operating activities include payments for employee-related compensation expenses, contract acquisition costs, outside services, and other corporate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$70.5 million for the six months ended July 31, 2026 as compared to the $8.7 million of net cash provided by operating activities for the six months ended July 31, 2025. The change in operating cash flows was primarily driven by higher capitalized contract acquisition costs associated with revenue growth, lower customer collections due to the timing of billings and collections as we transitioned from upfront collections for multi-year contracts to annual billing arrangements, increased compensation and benefits-related payments, and a decrease in deferred revenue due to lower upfront billings. These were partially offset by increases in accounts payable and other non-current liabilities.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 of cash for investing activities include purchases of property and equipment, intangible assets, and marketable securities. Our primary source of cash provided by investing activities include sale and maturities of marketable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was approximately $140.4 million for the six months ended July 31, 2026 as compared to the $19.6 million of net cash provided by investing activities for the six months ended July 31, 2025. The change was primarily due to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purchases of marketable securities and property and equipment. These were partially offset by proceeds from the maturities of marketable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source of cash provided by financing activities include proceeds from the issuance of common stock. Our primary use of cash for financing activities include payments for withholding taxes related to the settlement of equity awards and holdback payment related to business combination.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by financing activities was $1.8 million for the six months ended July 31, 2026 as compared to the $16.5 million of net cash provided by financing activities for the six months ended July 31, 2025. The decrease was primarily driven by the payments for tax withholding obligations upon settlement of equity awards. These were partially offset by proceeds from the issuance of common stock under our employee stock purchase plan and upon exercise of stock options.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2022, we issued $401.0 million in aggregate principal amount of our 2028 Notes pursuant to an indenture, dated as of December 22, 2022, as supplemented by that certain First Supplemental Indenture, dated April 25, 2025, and Second Supplemental Indenture, dated September 19, 2025 (as supplemented, the "2028 Notes Indenture"), between us and U.S. Bank Trust Company, National Association, as trustee (the "Trustee"). In September 2024, we issued $75.0 million in aggregate principal amount of our 2029 Notes, pursuant to an indenture, dated as of September 30, 2024, as supplemented by that certain First Supplemental Indenture, dated as of September 19, 2025 (the "2029 Notes Indenture" and, together with the 2028 Notes Indenture, the "Indentures"), between us and the Trustee. The 2028 Notes accrue interest at a rate of 3.75% per annum and pursuant to the terms of the 2028 Notes Indenture, will mature on December 15, 2028 (the "2028 Note Maturity Date"), unless earlier repurchased, redeemed, or converted. The 2029 Notes accrue interest at a rate of 3.00% per annum and will mature on August 1, 2029 (the "2029 Note Maturity Date" and, together with the 2028 Note Maturity Date, each a "Maturity Date"), unless earlier repurchased, redeemed, or converted. Interest on the Convertible Notes is payable quarterly in arrears in cash or by increasing the principal amount thereof, at our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obligations under the Convertible Notes are guaranteed by each of our subsidiaries other than certain excluded subsidiaries. The Convertible Notes are senior, unsecured obligations and the guarantees are senior, unsecured obligations of our subsidiary guarantors.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Convertible Notes are convertible at the option of the holders following the date that is nine calendar months after the IPO until the relevant Maturity Date, at a conversion price equal to 42.1046 shares of Class B common stock per $1,000 principal amount of the 2028 Notes (equal to a conversion price of approximately $23.75 per share), or 40.4858 shares of Class B common stock per $1,000 principal amount of 2029 Notes (equal to a conversion price of approximately $24.70 per share). The number of shares of Class B common stock that would be issuable upon conversion of the Convertible Notes are as follows (in thousands, except share amounts):</w:t>
      </w:r>
    </w:p>
    <w:p>
      <w:pPr>
        <w:pStyle w:val="TextBody"/>
        <w:bidi w:val="0"/>
        <w:spacing w:before="120" w:after="283"/>
        <w:jc w:val="left"/>
        <w:rPr/>
      </w:pPr>
      <w:r>
        <w:rPr/>
        <w:t> </w:t>
      </w:r>
    </w:p>
    <w:tbl>
      <w:tblPr>
        <w:tblW w:w="7319" w:type="dxa"/>
        <w:jc w:val="left"/>
        <w:tblInd w:w="0" w:type="dxa"/>
        <w:tblLayout w:type="fixed"/>
        <w:tblCellMar>
          <w:top w:w="28" w:type="dxa"/>
          <w:left w:w="28" w:type="dxa"/>
          <w:bottom w:w="28" w:type="dxa"/>
          <w:right w:w="28" w:type="dxa"/>
        </w:tblCellMar>
      </w:tblPr>
      <w:tblGrid>
        <w:gridCol w:w="946"/>
        <w:gridCol w:w="146"/>
        <w:gridCol w:w="272"/>
        <w:gridCol w:w="958"/>
        <w:gridCol w:w="146"/>
        <w:gridCol w:w="146"/>
        <w:gridCol w:w="185"/>
        <w:gridCol w:w="1165"/>
        <w:gridCol w:w="146"/>
        <w:gridCol w:w="146"/>
        <w:gridCol w:w="272"/>
        <w:gridCol w:w="958"/>
        <w:gridCol w:w="146"/>
        <w:gridCol w:w="146"/>
        <w:gridCol w:w="185"/>
        <w:gridCol w:w="1165"/>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Maturity 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 xml:space="preserve">Principal and </w:t>
              <w:br/>
              <w:t xml:space="preserve">Accrued and </w:t>
              <w:br/>
              <w:t>Unpaid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 Class B</w:t>
              <w:br/>
              <w:t>Common Stock</w:t>
              <w:br/>
              <w:t>Issuable Upon</w:t>
              <w:br/>
              <w:t>Conversion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 xml:space="preserve">Principal and </w:t>
              <w:br/>
              <w:t xml:space="preserve">Accrued and </w:t>
              <w:br/>
              <w:t>Unpaid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 Class B</w:t>
              <w:br/>
              <w:t>Common Stock</w:t>
              <w:br/>
              <w:t>Issuable Upon</w:t>
              <w:br/>
              <w:t>Conversion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19,316,422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21,106,738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3,220,041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3,522,396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22,536,463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24,629,134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the Convertible Notes are also entitled to convert such Convertible Notes upon certain corporate transactions or if we call Convertible Notes for redemption following a change in tax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terms of the Convertible Notes, we are required to offer to redeem the Convertible Notes upon the occurrence of certain change of control events, our liquidation or dissolution or the delisting of our Class A common stock. We would be required to repurchase the Convertible Notes at a price equal to the greater of (i) a specified premium, which shall be in an amount equal to the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excess of (x) 140% of the principal amount of such Convertible Notes on or before the second anniversary of the issue date of the Convertible Notes, (y) 155% of the principal amount of such Convertible Notes after the second anniversary but on or before the third anniversary of the issue date of the Convertible Notes, or (z) 170% of the principal amount of such Convertible Notes after the third anniversary of the issue date of the Convertible Notes and (ii) the principal amount thereof and all accrued and unpaid interest thereon.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 long as the holders of the 2028 Notes have made no prior repurchase demand, holders of the 2028 Notes can, during the period beginning 120 days prior to the 2028 Note Maturity Date (or earlier, if we so choose) and ending 91 days prior to the 2028 Note Maturity Date, submit a repurchase demand requiring us to offer to repurchase their 2028 Notes at a repurchase price equal to the principal amount of such 2028 Notes and an amount equal to a rate of return of 14.0% per annum, compounded quarterly. Holders of the 2029 Notes can require us to repurchase their 2029 Notes following the date that is the earlier of (i) September 30, 2028, and (ii) the third anniversary of the IPO, at a repurchase price equal to the principal amount of such 2029 Notes and an amount equal to a rate of return of 13.5% per annum, compounded quarterly.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reflects the maximum amount potentially owed under the Convertible Notes, assuming that the Convertible Notes are held until the Maturity Date.</w:t>
      </w:r>
    </w:p>
    <w:p>
      <w:pPr>
        <w:pStyle w:val="TextBody"/>
        <w:bidi w:val="0"/>
        <w:spacing w:before="120" w:after="283"/>
        <w:jc w:val="left"/>
        <w:rPr/>
      </w:pPr>
      <w:r>
        <w:rPr/>
        <w:t> </w:t>
      </w:r>
    </w:p>
    <w:tbl>
      <w:tblPr>
        <w:tblW w:w="5134" w:type="dxa"/>
        <w:jc w:val="left"/>
        <w:tblInd w:w="0" w:type="dxa"/>
        <w:tblLayout w:type="fixed"/>
        <w:tblCellMar>
          <w:top w:w="28" w:type="dxa"/>
          <w:left w:w="28" w:type="dxa"/>
          <w:bottom w:w="28" w:type="dxa"/>
          <w:right w:w="28" w:type="dxa"/>
        </w:tblCellMar>
      </w:tblPr>
      <w:tblGrid>
        <w:gridCol w:w="946"/>
        <w:gridCol w:w="146"/>
        <w:gridCol w:w="350"/>
        <w:gridCol w:w="1015"/>
        <w:gridCol w:w="256"/>
        <w:gridCol w:w="146"/>
        <w:gridCol w:w="1231"/>
        <w:gridCol w:w="146"/>
        <w:gridCol w:w="196"/>
        <w:gridCol w:w="51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 xml:space="preserve">Rate of Return </w:t>
            </w:r>
            <w:r>
              <w:rPr>
                <w:rFonts w:ascii="Times New Roman" w:hAnsi="Times New Roman"/>
                <w:b/>
                <w:color w:val="000000"/>
                <w:sz w:val="11"/>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5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(dollars 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December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August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lineRule="auto" w:line="360"/>
        <w:jc w:val="left"/>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Compounded quarterly.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or after the one year anniversary of the completion of the IPO, we may redeem all or any portion of the Convertible Notes for cash at a redemption price equal to 100% of the principal amount thereof, plus accrued and unpaid interest, if the price of our Class A common stock is at least 200% (or in the case of the 2028 Notes, beginning on December 15, 2027, at least 230%) of the then-applicable conversion price for each of at least twenty (20) trading days (whether or not consecutive) during the thirty (30) consecutive trading days prior to providing notice of such redemption. No sinking fund is provided for the Convertible Notes. So long as 10% of each series of Convertible Notes remain outstanding, we are restricted in the amount of indebtedness we may incur without the consent of holders of at least 55% of the then-outstanding aggregate principal amount of the relevant series of Convertible Notes. The Convertible Notes contain customary anti-dilution adjustments. Each indenture contains customary events of default, the occurrence of which would enable the Trustee or the holders of at least 25% in aggregate principal amount of such series of Convertible Notes to accelerate our obligations under such Convertible Notes.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31, 2026, our commitments consisted of (i) obligations under operating leases for offices and data centers on an undiscounted basis, of which $12.3 million is due within 12 months and $30.4 million is due thereafter, (ii) Convertible Note obligations, with an aggregate principal amount of $401 million, due in fiscal 2029 and an aggregate principal amount of $75 million due in fiscal 2030, and (iii) purchase obligations with various parties for products and services entered into in the normal course of business, of which $71.4 million is due within the next 12 months and $288.6 million is due thereafter.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is based on our condensed consolidated financial statements and the related notes thereto, which have been prepared in accordance with GAAP. In preparing the condensed consolidated financial statements, we apply accounting estimates that affect the reported amounts and related disclosures. Inherent in such policies are certain key assumptions and estimates made by management, which we 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condensed consolidated financial statements based on our latest assessment of the current and projected business and economic environment. By their nature, these estimates and judgments are subject to an inherent degree of uncertainty and actual results could differ materially from the amounts reported based on these estimates.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as compared to those described in “Management’s Discussion and Analysis of Financial Condition and Results of Operations” set forth in our Annual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recently adopted accounting pronouncements and recently issued accounting standards not yet adopted, see Note 2 "Basis of Presentation and Summary of Significant Accounting Policies" in the notes to our condensed consolidated financial statements appearing elsewhere in this Quarterly Report on Form 10-Q for more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this extended transition period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t>
      </w:r>
    </w:p>
    <w:p>
      <w:pPr>
        <w:pStyle w:val="TextBody"/>
        <w:bidi w:val="0"/>
        <w:spacing w:before="360" w:after="283"/>
        <w:jc w:val="left"/>
        <w:rPr>
          <w:rFonts w:ascii="Times New Roman" w:hAnsi="Times New Roman"/>
          <w:b/>
          <w:color w:val="000000"/>
          <w:sz w:val="20"/>
        </w:rPr>
      </w:pPr>
      <w:bookmarkStart w:id="12" w:name="item_3_quantitative_and_qualitative"/>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31, 2026, we had a total of $1.1 billion of cash, cash equivalents, and marketable securities, which consisted primarily of money market funds, commercial paper, corporate debt securities, asset-back securities, U.S. Treasury, and government agency securities. We also had $0.3 million of restricted cash as of July 31, 2026, primarily due to collateral in connection with certain facility lease agreements. Our cash, cash equivalents, and marketable securities bear interest and are held for working capital purposes. We do not enter into investments for trading or speculative purposes. Interest rates on the Convertible Notes are fixed, however, the fair value of the Convertible Notes are exposed to interest rate risk. Generally, the interest rate related to the changes in the U.S. Treasury rate will not significantly impact Convertible Notes valuation. We do not believe a hypothetical 100 basis point change in interest rates would have resulted in a material impact to our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vast majority of our sales contracts are denominated in U.S. dollars, with a small number of contracts denominated in foreign currencies. A portion of our operating expenses are incurred outside the United States, denominated in foreign currencies and subject to fluctuations due to changes in foreign currency exchange rates, particularly changes in the Indian Rupee, Taiwanese Dollar, and Euro.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We do not believe a hypothetical 10% increase or decrease in the relative value of the U.S. dollar to other foreign currencies would have a material impact on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Inflation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bidi w:val="0"/>
        <w:spacing w:before="360" w:after="283"/>
        <w:jc w:val="left"/>
        <w:rPr>
          <w:rFonts w:ascii="Times New Roman" w:hAnsi="Times New Roman"/>
          <w:b/>
          <w:color w:val="000000"/>
          <w:sz w:val="20"/>
        </w:rPr>
      </w:pPr>
      <w:bookmarkStart w:id="13" w:name="item_4_controls_and_procedures"/>
      <w:bookmarkEnd w:id="13"/>
      <w:r>
        <w:rPr>
          <w:rFonts w:ascii="Times New Roman" w:hAnsi="Times New Roman"/>
          <w:b/>
          <w:color w:val="000000"/>
          <w:sz w:val="20"/>
        </w:rPr>
        <w:t>Item 4. Controls and Procedures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our disclosure controls and procedures (as defined in Rules 13a-15(e) and 15d-15(e) under the Exchange Act), as of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end of the period covered by this Quarterly Report on Form 10-Q. Based on that evaluation, our Chief Executive Officer and Chief Financial Officer have concluded that as of July 31, 2026,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Chief Executive Officer and Chief Financial Officer, as appropriate to allow timely decisions regarding required disclosure.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during the three months ended July 31, 2026 that have materially affected, or are reasonably likely to materially affect, our internal control over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center"/>
        <w:rPr>
          <w:rFonts w:ascii="Times New Roman" w:hAnsi="Times New Roman"/>
          <w:b/>
          <w:color w:val="000000"/>
          <w:sz w:val="20"/>
        </w:rPr>
      </w:pPr>
      <w:bookmarkStart w:id="14" w:name="part_ii_other_information"/>
      <w:bookmarkEnd w:id="14"/>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involved in various legal proceedings arising from activities in the normal course of business. We are not presently a party to any litigation the outcome of which, we believe, if determined adversely to us, would individually or taken together have a material adverse effect on our business, financial condition, results of operations, and cash flows. Defending any legal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sz w:val="20"/>
        </w:rPr>
      </w:pPr>
      <w:bookmarkStart w:id="16" w:name="item_1a_risk_factors"/>
      <w:bookmarkEnd w:id="1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Class A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the accompanying notes, before making a decision to invest in our Class A common stock. The risks and uncertainties described below are not the only ones we face. Additional risks and uncertainties that we are unaware of, or that we currently believe are not material, may also become important factors that affect us. If any such risks or any of the following risks occur, our business, results of operations, and financial condition could be materially and adversely affected. Also, the price of our Class A common stock could decline due to any of these risks, and as a result, you could lose all or part of your investment.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described more fully below. These risks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anticipate increases in our operating expenses in the near-term, and may not achieve or sustain profitability. If we cannot achieve and sustain profitability, our business, results of operations, and financial condition will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rapid growth in recent periods, and our recent growth rates may not be indicative of our future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revenues and operating results will be harmed if we are unable to acquire new customers, if our customers do not renew their arrangements with us, or if we are unable to expand sales to our existing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for security, networking, and analytics does not grow, our ability to grow our business and our results of operations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growth depend in part on the success of our relationships with our partner ecosystem. If we are unable to maintain or develop these relationships, our business, results of operations and financial condition could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may fluctuate significantly, which could make our future results difficult to predict and could cause our operating results to fall below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effectively develop and expand our sales and marketing capabilities, we may be unable to add new customers or increase sales to our existing customers, and our business will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cycle is long and unpredictable, and our sales efforts require considerable time and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operations expose us to significant risks, and failure to manage those risks could materially and adversely impact our business, results of operations and financial condition.</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obtain, maintain, protect, defend, or adequately enforce our intellectual property or proprietary rights, our competitive position could be impaired, and we may lose valuable assets, generate reduced revenue, and incur costly litigation to protect our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artificial intelligence ("AI") and machine learning ("ML"), and the integration of AI and ML within our business, platform and products, may not be successful and may present business, compliance, and reputational challenges, which could lead to operational or reputational damage, competitive harm, legal and regulatory risk, and additional costs, any of which could adversely affect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internal networks, systems or data are or are perceived to have been breached, our platform and products may be perceived as insecure, our reputation may be damaged, and our financial results may be negatively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actual or perceived failure of our platform and products to block malware or prevent a security breach or incident could harm our reputation and adversely impact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satisfy data protection, security, privacy and other government- and industry-specific requirements or regulations, our business, results of operations and financial condition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Servicing our substantial indebtedness may require a significant amount of cash, and we may not have sufficient cash flow from our business or the ability to raise funds necessary to satisfy our obligations under our indebtedness. Our debt could also expose us to other risks that could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multi-class structure of our common stock has the effect of concentrating voting control with the holders of our outstanding Class B common stock. This ownership will limit or preclude your ability to influence corporate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effect our multi-class structure may have on the trading price of our Class A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history of losses, anticipate increases in our operating expenses in the near-term, and may not achieve or sustain profitability. If we cannot achieve and sustain profitability, our business, results of operations, and financial condition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net losses in each period since inception. We generated net losses of $227.3 million and $169.5 million for the six months ended July 31, 2026 and 2025, respectively. As of July 31, 2026, we had an accumulated deficit of $2.9 billion. While we have experienced rapid revenue growth in recent periods, we are not certain whether or when we will obtain a high enough volume of sales to achieve or maintain profitability in the future. We expect our operating expenses will increase over time as we continue to invest meaningfully in expanding our sales force, increasing our marketing efforts, expanding into new markets and further developing our technology architecture and platform, and as we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While we have and will continue to incorporate AI into our development and business processes, there can be no assurance that we will realize the desired or anticipated efficiencies or cost reductions from AI in a timely manner, and the adoption of AI in various aspects of our business may lead to increased costs in the near term. In June 2026, we approved a restructuring plan to realign resources as part of our transition to an AI-native business. If we do not realize the expected benefits of our restructuring efforts on a timely basis or at all, our business results of operations and financial condition could be adversely affected. In addition, our ability to achieve and maintain profitability will be highly dependent on our ability to successfully market our platform and products to new and existing customers. These efforts may prove to be more expensive than we currently anticipate, and we may not succeed in increasing our revenue sufficiently, or at all, to offset these higher expenses. Our efforts and investments to implement systems and processes to scale operations may not be sufficient or may not be effective. As a result, we may incur significant losses in the future for a number of reasons, including the other risks described herein, unforeseen expenses, difficulties, complications, or delays, and other unknown events. For example, advances in quantum computing could result in the industry transitioning to cryptography standards which require large key sizes and significantly more computational resources, and could contribute to increase in our operating expenses due to higher costs to develop and deploy post-quantum cryptographic upgrades across out cloud infrastructure. If we are unable to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 and sustain profitability, the value of our business and the trading price of our Class A common stock may significantly decrease.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the several quarters following the completion of our initial public offering ("IPO"), we expect to recognize significant stock-based compensation expense related to certain outstanding restricted stock units ("RSUs"). While the performance-based condition was satisfied in connection with the IPO, these equity awards remain subject to ongoing service-based vesting conditions and, in certain cases, market-based vesting conditions, which has resulted and will contribute to increases in our operating expenses and will negatively impact our ability to achieve profitability in future periods.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experienced rapid growth in recent periods, and our recent growth rates may not be indicative of our future growth.</w:t>
      </w:r>
    </w:p>
    <w:p>
      <w:pPr>
        <w:pStyle w:val="TextBody"/>
        <w:bidi w:val="0"/>
        <w:spacing w:lineRule="auto" w:line="360" w:before="120" w:after="283"/>
        <w:jc w:val="left"/>
        <w:rPr>
          <w:rFonts w:ascii="Times New Roman" w:hAnsi="Times New Roman"/>
          <w:sz w:val="13"/>
        </w:rPr>
      </w:pPr>
      <w:r>
        <w:rPr>
          <w:rFonts w:ascii="Times New Roman" w:hAnsi="Times New Roman"/>
          <w:color w:val="000000"/>
          <w:sz w:val="20"/>
        </w:rPr>
        <w:t>We were founded in 2012 and have been growing rapidly over the last several years, with revenue of $422.1 million and $328.5 million for the six months ended July 31, 2026 and 2025, respectively, and we may continue to experience rapid growth in the future.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platform and products from existing and new customers, a failure by us to capitalize on growth opportunities, terminations of contracts by our existing customers, and the maturation of our business, among others. Our recent and historical growth should not be considered indicative of our future performance. Even if our revenue continues to increase over the long term, our revenue growth rate has in the past declined, and we expect our revenue growth rate to decline in the future,</w:t>
      </w:r>
      <w:r>
        <w:rPr>
          <w:rFonts w:ascii="Times New Roman" w:hAnsi="Times New Roman"/>
          <w:color w:val="000000"/>
          <w:sz w:val="13"/>
        </w:rPr>
        <w:t xml:space="preserve"> </w:t>
      </w:r>
      <w:r>
        <w:rPr>
          <w:rFonts w:ascii="Times New Roman" w:hAnsi="Times New Roman"/>
          <w:color w:val="000000"/>
          <w:sz w:val="20"/>
        </w:rPr>
        <w:t>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results of operations, and financial condition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growth of our revenue also depends on a number of factors, including our ability to acquire new customers, retain our existing customers and expand sales to existing customers; offer a compelling platform and products; execute an effective sales and marketing strategy; attract, effectively train, and retain new sales, marketing, professional services, and support personnel in the markets we pursue; develop or expand relationships with channel partners; expand into new geographies and vertical markets; develop and deploy new products, features, and functionalities; and provide quality customer support once deployed.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successfully accomplish any of these objectives. If we do not, or if the assumptions that we use to plan our business are incorrect or change in reaction to changes in our market, or if we are unable to maintain our revenue growth for any reason, including the reasons listed above, it may be difficult to achieve and maintain profitability, the trading price of our Class A common stock may be volatile, demand for our platform and products could decline, and our business, financial condition, and results of operations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future revenues and operating results will be harmed if we are unable to acquire new customers, if our customers do not renew their arrangements with us, or if we are unable to expand sales to our existing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continue to grow our business, we must continue to add new customers. Our success in adding new customers depends on numerous factors, including our ability to offer a compelling platform and products; execute an effective sales and marketing strategy; attract, effectively train, and retain new sales, marketing, professional services, and support personnel in the markets we pursue; develop or expand relationships with channel partners, including system integrators, value added resellers ("VARs"), technology partners, and managed service providers (“MSPs”); expand into new geographies and vertical markets; deploy our platform and products for new customers; and provide quality customer support once deployed.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also believe that it is important to our continued growth that our existing customers renew their arrangements with us when their contract terms expire. A substantial majority of our customers purchase subscriptions with a contract term of one to three years. Our customers have no obligation to renew their contracts with us, and some of our customers have in the past chosen not to do so. Even if our customers do choose to renew their contracts, they may decide not to renew their contracts for a similar contract period, at the same prices and terms, or with the same or a greater number of users or capacity. Our customer retention and expansion are difficult to accurately predict and may decline or fluctuate as a result of a number of factors, including our customers' satisfaction with our platform and products and their spending levels, our pricing, industry developments, competition, changing regulatory environments, and general economic conditions. Our ability to increase revenue also depends on our ability to expand our customer relationships over time by increasing the number of products we offer and use cases we serve and the number, business functions and locations of users for whom our customers license our products. Our ability to increase sales to existing customers depends on several factors, including their experience with implementing and using our platform and products and the existing products they have implemented, their ability to integrate our platform and products with existing technologies, and our pricing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market for security, networking, and analytics products such as ours is relatively new, and if we are unable to convince organizations of the benefits of our platform and products, then we may be unable to acquire new customers or keep existing customers. If we are unable to successfully acquire new customers, retain our existing customers, expand sales to existing customers, or introduce new products, our business, results of operations, and financial condition would be adversely affected. The adverse effect on our financial results may be particularly acute because of the significant research, development, marketing, sales, and other expenses we will have incurred in connection with the new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market for security, networking, and analytics does not grow, our ability to grow our business and our results of operations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security, networking, and analytics, including our platform and products, is rapidly evolving. We believe our future success will depend in large part on growth in the market for security, networking, and analytics. We also believe that our platform and products represent a significant shift from on-premises appliance-based security solutions. While cloud-based security, networking, and analytics solutions have seen increased adoption, traditional on-premises security and networking appliance and software solutions continue to be rooted in the infrastructure of many of our potential customers, particularly large enterprises, because of their prior investment in, and their familiarity with, such solutions. As such, it is difficult to predict future demand for cloud-based security, networking, and analytics or the success of competitive products, and, as a result, customer adoption and retention rates for these products and the future growth of this market. Any expansion in this market depends on a number of factors, including the cost, performance, perceived value associated with our platform and products and similar solutions of our competitors, and enterprises' potential preference to manage security with existing appliances and infrastructure alone as opposed to investing in a security, networking, and analytics platform such as ours. The markets for some of our products are new, unproven, and evolving, and our future success depends on growth and expansion of these markets. For example, we have invested and intend to continue to invest in the development and marketing of products to address the potential needs of AI usage by our customers, however the adoption of AI by our customers and their needs for managing AI are not certain. Trends in hybrid and remote work may also impact our business. For example, some large enterprises have publicly signaled an intent to reduce hybrid and remote work, and a widespread reduction in hybrid and remote work could adversely impact demand for our platform and products. If our platform and products do not achieve widespread adoption or there is a reduction in demand for our platform and products due to a lack of customer acceptance, technological challenges, competing products or solutions, concerns relating to privacy, data protection, data sovereignty or cybersecurity, decreases in corporate spending, changes in hybrid and remote work arrangements, the impact of AI, weakening economic conditions or otherwise, it could result in early terminations, reduced customer retention rates, or decreased revenue, any of which would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the incidence of security breaches and incidents were to decline, or enterprises or governments were to perceive that the incidence of security breaches and incidents had declined, our ability to attract and retain customers could be adversely affected. We may face additional difficulties in attracting organizations that use legacy systems and products to purchase our platform and products if they believe that these legacy systems and products are more cost-effective, are bound by long term contracts, or provide a level of security that is sufficient to meet their needs. Furthermore, the use of cloud security, networking, and analytics is relatively new, and if we are unable to convince organizations of the benefits of our platform and products, then we may be unable to acquire new customers or keep existing customers. If organizations do not continue to adopt our platform for any of the reasons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discussed above or for other reasons not contemplated, our sales will not grow as quickly as anticipated, or at all, and our business, operating results and financial condition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and growth depend in part on the success of our relationships with our partner ecosystem. If we are unable to maintain or develop these relationships, our business, results of operations and financial condition could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extensively on our ecosystem of channel partners, including VARs and distributors, technology alliances, service and telecommunications partners, MSPs, system integrators, and other strategic partners to deliver, customize, integrate, and manage our platform and products for substantially all of our customers. A significant portion of our sales also originates within our partner ecosystem. For example, sales through our top five partners and their affiliates, in aggregate, represented 39% of our revenue for the six months ended July 31, 2026 and 35% of our revenue for the six months ended July 31, 2025. We have experienced, and may in the future experience, consolidation in our partner ecosystem through the merger of certain of our channel partners, which may increase our reliance on individual channel partners. Not only does our joint sales approach require additional investment to grow and train our sales force, but we believe that continued growth in our business is dependent upon identifying, developing and maintaining strategic relationships with our existing and potential channel partners. Our arrangements with our channel partners are generally non-exclusive, meaning they may offer customers the products and services of several different companies, including products and services that compete with our platform and products. If our channel partners do not effectively market and sell our platform and products, choose to use greater efforts to market and sell our competitors' products or services, fail to meet the needs of our customers, or cease marketing our platform and products or providing services to us, our ability to grow our business and sell our platform and products may be adversely affected. Our channel partners may cease marketing our platform and products with limited or no notice and with little or no penalty. If one or more of our channel partners determines that it is unable to both provide services to us or cooperate with us in our go-to-market efforts while at the same time providing services to our competitors, those channel partners may cease marketing our platform and products or otherwise cease providing services to us or cooperating with us in our go-to-market efforts. Our ability to achieve revenue growth in the future will depend in part on our maintaining successful relationships with our channel partners, identifying additional channel partners and training our channel partners to independently sell and deploy our platform and products. If we are unable to maintain our relationships with our existing channel partners or develop successful relationships with new channel partners or if our channel partners fail to perform, the demand for our platform and our products could decline, and our business, results of operations and financial condition could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collaborate with adjacent technology vendors to offer comprehensive solutions to our respective customers, including through mutual referrals and integrations and through cloud marketplace programs. If we do not effectively collaborate with such technology partners, or if they elect to terminate their relationships with us or develop and market solutions that compete with our platform and products, our business, results of operations and financial condition could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operating results may fluctuate significantly, which could make our future results difficult to predict and could cause our operating results to fall below expectations.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revenue and operating results tend to fluctuate from period to period, and we believe that our quarterly results may vary significantly in the future. Consequently, you should not rely on the results of any one quarter as an indication of future performance. Period-to-period comparisons of our revenue and operating results may not be meaningful and, as a result, may not fully reflect the underlying performance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operating results may fluctuate as a result of a variety of factors, including, but not limited to, those listed below, many of which are outside of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broad market acceptance and the level of demand for our platform and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new customers, particularly large enterprises;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customers and expand their usage of our platform and products, particularly our largest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and timing of operating expenses, particularly for sales and marketing, that we may incur to grow and expand our operations and to remain 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expand in the United States and internationally and further penetrate key markets;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and unpredictable nature of our sales cycle;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availability of renewals;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changes and the timing and success of new service introductions by us or our competitors or any other change in the competitive landscape of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pressure as a result of competition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mix of revenue and associated costs attributable to our various products, which may impact our gross margins and operating income;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mix of revenue attributable to larger transactions as opposed to smaller transactions and the associated volatility and timing of our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mix of subscription, billing, and payment terms, which affects discounts and revenue, and may result in a decrease in gross margins and deferred revenue and impact the timing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transition of our billing arrangement from multi-year to annual billing, which may impact the timing of billings and collections and result in fluctuations in operating cash flows and free cash flows from period to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or deterioration of our channel partnerships and other relationships influencing our sales execution;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customers' budgets and in the timing of their purchasing decisions, including seasonal buying patterns for IT spending;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success of new product introductions by our competitors and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reputational harm as a result of actual, perceived or purported significant security breaches or incidents impacting, or technological failures, disruptions or difficulties with, our internal networks, systems or data, or our platform and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legislative or regulatory or international relationship environment affecting our platform or customers' use of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stock-based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gains and losses related to operating expenses incurred and any sales denominated in currencies other than the U.S. dollar;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the acquisition of businesses, talent, technologies, or intellectual property, including potentially significant amortization costs and possible write-downs;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control costs, including our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collectability of receivables from customers and channel partners, which may be hindered or delayed if these customers or channel partners experience financial distress;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policies and economic conditions specifically affecting industries in which our customers participate;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military conflicts, natural disasters or other catastrophic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litigation-related costs, settlements, or adverse litigation judgments.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one or more of the factors above may result in significant fluctuations in our results of operations. We also intend to continue to invest significantly to grow our business in the near future rather than optimizing for profitability or cash flows.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variability and unpredictability of our quarterly results of operations or other operating metrics could result in our failure to meet our expectations or those of industry or financial analysts. If we fail to meet or exceed such expectations for these or any other reasons, the market price of our Class A common stock could fall substantially, and we could face costly lawsuits, including securities class action suits.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effectively develop and expand our sales and marketing capabilities, we may be unable to add new customers or increase sales to our existing customers, and our business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increase the number of customers and increase the market acceptance of our platform, we will need to expand our sales and marketing operations, including our domestic and international sales forces. Although we have a channel sales model, our sales representatives typically engage in direct interaction with our prospective customers. Therefore, we continue to be substantially dependent on our sales force to obtain new customers. Increasing our customer base and achieving broader market acceptance of our platform will depend, to a significant extent, on our ability to expand and further invest in our sales and marketing operations and activities, particularly in the United States. There is significant competition for sales personnel with the advanced sales skills and technical knowledge we need. We believe that selling security, networking, and analytics solutions requires particularly talented sales personnel with the ability to communicate the transformative potential of our platform and products. These requirements are heightened as the number and variety of products we offer increases. In recent periods we have invested significantly in training and recruiting sales personnel to effectively sell our expanding portfolio of products, however, new sales personnel require a significant ramp period before reaching full productivity. Our ability to achieve significant growth in revenue in the future will depend, in large part, on our success in recruiting, training and retaining enough talented sales personnel in both the U.S. and international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hires require significant training and may take significant time before they achieve full productivity due to the complexity of our solutions and sales cycles. As a result, our new hires and planned hires may not become as productive as we would like, and we may be unable to hire or retain enough qualified individuals in the future. As a result of our rapid growth, a large percentage of our sales and marketing team is new to our company and selling our platform and products, and therefore this team may be less effective than our more seasoned employees.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The effectiveness of our sales and marketing has also varied over time and, together with the effectiveness of any partners or resellers we may engage, may vary in the future. Our business and operating results may be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sales cycle is long and unpredictable, and our sales efforts require considerable time and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and unpredictability of the sales cycle for our platform and products makes it difficult to identify a regular cadence to our sales. We and our channel partners are often required to spend significant time and resources to better educate and familiarize potential customers with the value proposition of our platform and products. Customers often view the purchase of our platform and products as a strategic decision and significant investment and, as a result, frequently require considerable time to evaluate, test, and qualify our platform and products, as well as those of our competitors, prior to purchasing our platform and products. Large enterprises and government entities in particular often undertake a significant evaluation process that further lengthens the sales cycle. In 2023, we achieved U.S. Federal Risk and Authorization Management Program ("FedRAMP") High Authorization, and given our limited experience with selling to the government, any sales to government entities could require particularly significant investments of time and expense, as well as increased certifications such as Impact Level 5. In addition, the impact of macroeconomic conditions could materially and adversely affect our business, results of operations and financial condition by reducing sales, lengthening sales cycles and lowering prices for our platform and products. During the sales cycle, we expend significant time and money on sales and marketing and contract negotiation activities, which ultimately may not result in a sale. Additional factors that may influence the length and variability of our sales cycle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discretionary nature of purchasing and budget cycles and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lengthy purchasing approval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evaluation of competing products during the purchasing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complexity, and expense involved in replacing existing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or planned introductions of new products, features, or functionality by us or our competitors;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practice of large enterprises often driving their purchasing cycles based on internal factors rather than marketing cycles;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evolving functionality demands.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force develops relationships directly with our customers, and together with our channel account teams, works with our channel partners on account penetration, coordination, sales and overall market development. We spend substantial time and resources on our sales efforts without any assurance that our efforts will produce a sale. Platform purchases are frequently subject to budget constraints, multiple approvals and unanticipated administrative, processing and other delays. As a result, it is difficult to predict whether and when a sale will be completed.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efforts in pursuing sales and customers are unsuccessful, or if our sales cycles lengthen, our revenue could be lower than expected, which would have an adverse effect on our business,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recognize most of our revenue ratably over the term of our agreements with customers and, as a result, downturns or upturns in sales may not be immediately reflected in our operating results and may be difficult to discern.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platform and products are sold under a subscription model, with typical terms of one to three years. Our business, results of operations, and financial condition could be materially and adversely affected if we fail to successfully manage our subscription model, which depends upon our ability to, among other things, properly price our subscription-based arrangements, maintain systems and processes to properly account for and administer subscriptions, deliver our platform and products, retain our customers, and further develop or acquire related technologies and infrastructure.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most of our revenue ratably over the terms of our agreements with customers. As a result, a portion of the revenue that we report in each period will be derived from the recognition of deferred revenue relating to agreements entered into during previous periods. Consequently, a decline in new subscription sales or renewals in any one period may not be immediately reflected in our revenue results for that period. This decline, however, will negatively affect our revenue in future periods. Additionally, subscriptions that are invoiced annually in advance or multi-year in advance contribute significantly to our short-term and long-term deferred revenue. We recently shifted more of our business to annual billing of multi-year contracts. As a result, our growth rate of billings and deferred revenues has declined and we expect it to continue to decline in subsequent quarters, and we may experience negative growth in billings or deferred revenue in certain quarters in the future. Accordingly, the effect of downturns or upturns in market acceptance of our platform and products, in new sales and our rate of renewals may not be fully reflected in our results of operations until future periods. Although our contracts are generally non-cancellable, customers could request to cancel existing arrangements under certain circumstances, which would adversely impact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invest in research and development, sales and marketing, network infrastructure, general and administrative functions, and other areas to grow our business. We may also be unable to reduce our cost structure in line with a significant deterioration in sales or renewals. Such costs are generally expensed as incurred (with the exception of sales commissions and certain research and development costs), as compared to the corresponding revenue, substantially all of which is recognized ratably in future periods. As a result, we are likely to recognize the costs associated with these investments earlier than some of the anticipated benefits, and the return on these investments may develop more slowly, or may be lower, than we expect, which could adversely affect our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intense competition in our market, both from larger, well-established companies and from emerging companies, and we may lack sufficient financial and other resources to maintain and improve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security, networking, and analytics is intensely competitive and is characterized by constant change and innovation. We face competition from large, well-known companies that offer security, networking, analytics, and/or AI capabilities within their product portfolios, and vendors with whom we have not traditionally competed but who may either introduce new products or incorporate features into existing products that compete with our platform and products. Our primary competitors include companies such as Broadcom, Cisco, Fortinet, Palo Alto Networks, and Zscaler. We consider the following types of companies our competitors or potential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independent IT security vendors, which offer a mix of network and/or security products;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large networking and other vendors that offer security appliances and/or incorporate security capabilities into their networking products and other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companies with point solutions that compete with some of the features of our platform and products, such as proxy, firewall, cloud access security broker, sandboxing and advanced threat protection, data loss prevention, encryption, load balancing, virtual private network, and AI security;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providers of IT security services that offer, or may leverage related technologies, including AI, to introduce, products that compete with or are alternatives to our platform and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existing competitors have, and some of our potential competitors could have, substantial competitive advantages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name recognition, longer operating histories and larger customer bases;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larger sales and marketing budgets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broader distribution and established relationships with channel partners and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customer support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resources to make acquisitions and enter into strategic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lower labor and research and development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larger and more mature intellectual property rights portfolios;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broader product offerings and licensing models;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greater financial, technical and other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be successful in convincing IT decision makers that legacy appliance-based security, networking, and analytics solutions or hybrid cloud solutions based on legacy technology are sufficient to meet their security, networking, and analytics needs and provide security, networking, and analytics performance that competes with our platform and products. Our competitors may also seek to extend or supplement their existing offerings to provide security, networking, and analytics solutions that more closely compete with our offerings. Further, many organizations have invested substantial personnel and financial resources to design and operate their appliance-based networks and have established deep relationships with appliance vendors. As a result, these organizations may prefer to purchase from their existing suppliers rather than add or switch to a new supplier.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larger competitors have substantially broader and more diverse product and service offerings, which may allow them to leverage their relationships based on other products or incorporate functionality into existing products to gain business in a manner that discourages users from purchasing our platform and products, including through selling at zero or negative margins, offering free services and other concessions, bundling products or maintaining closed technology platforms. Many competitors that specialize in providing protection from a single type of security threat may be able to deliver these targeted security products to the market more quickly than we can or to convince organizations that these limited products meet their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merger and acquisition transactions in the technology industry continue to occur, particularly transactions involving cloud-based technologies. Accordingly, there is a greater likelihood that we will compete with other large technology companies in the future. Some of our competitors have made acquisitions or entered into strategic relationships to offer a more comprehensive product than they individually had offered. Companies and alliances resulting from these possible consolidations and partnerships may create more compelling product offerings and be able to offer more attractive pricing, making it more difficult for us to compete effectively. In addition, continued industry consolidation may adversely impact customers' perceptions of the viability of small and medium-sized technology companies and consequently their willingness to purchase from those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start-up companies that innovate and competitors that are making significant investments in research and development may invent similar or superior products and technologies that compete with our platform and products, and our business could be materially and adversely affected if such technologies or products are widely adopted. In addition, the rapid advancement in AI capabilities may lower barriers to entry for new competitors, including AI providers themselves, and enable faster development of alternative solutions. Conditions in our market could change rapidly and significantly as a result of technological advancements, partnering by our competitors, or continuing market consolidation. These competitive pressures in our market or our failure to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compete effectively may result in price reductions, fewer orders, reduced revenue, and gross margins, increased net losses, and loss of market share. Any failure to meet and address these factors would adversely affect our business, results of operations,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effectively manage our growth, we may be unable to execute our business plan, maintain high levels of service, adequately address competitive challenges or maintain our corporate culture, and our business,</w:t>
      </w:r>
      <w:r>
        <w:rPr>
          <w:rFonts w:ascii="Times New Roman" w:hAnsi="Times New Roman"/>
          <w:color w:val="000000"/>
          <w:sz w:val="20"/>
        </w:rPr>
        <w:t xml:space="preserve"> </w:t>
      </w:r>
      <w:r>
        <w:rPr>
          <w:rFonts w:ascii="Times New Roman" w:hAnsi="Times New Roman"/>
          <w:b/>
          <w:i/>
          <w:color w:val="000000"/>
          <w:sz w:val="20"/>
        </w:rPr>
        <w:t>results of operations, and financial condition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has experienced significant growth and is becoming increasingly complex. As our operations have expanded, we have increased our global workforce and broadened the geographic footprint in which we operate. We have also continued to grow our customer base and the number of markets in which we serve customers. We expect this growth to continue. This growth has placed and may continue to place significant demands on our operational infrastructure, financial resources and management team. To effectively manage this growth, we have made, and plan to continue to make, substantial investments to improve our operational, financial, and management controls, as well as our reporting systems and procedures. Our success will depend in part on our ability to manage this complexity effectively without undermining our corporate culture, which we believe has been central to our success. These and other improvements in our systems and controls will require significant capital expenditures and the allocation of valuable management and employee resources. If we fail to implement these improvements effectively, our ability to manage our expected growth, ensure uninterrupted operation of our platform and key business systems and comply with the rules and regulations applicable to public companies could be impaired, the quality of our platform and products could suffer and we may not be able to adequately address competitive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2026, we commenced certain restructuring actions designed to realign resources as part of our transition to an AI-native business. Our restructuring activities, including any related charges and the impact of the related headcount restructurings, could adversely affect our business, financial condition, results of operations, or cash flows.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restructuring actions, we expect to incur additional charges in the near term, including employee transition costs, severance payments, and employee benefits. The restructuring actions may also result in employee attrition beyond our intended workforce reduction, decreased employee morale, diversion of management attention from ongoing business operations, adverse effects to our reputation as an employer that could make it more difficult to hire and retain qualified employees, and delays in achieving our operational, strategic, or growth objectives due to the loss of experienced personnel. If we do not realize the expected benefits of our restructuring efforts on a timely basis or at all, our business, results of operations and financial condition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our customer base continues to grow, we likely will need to expand our professional services and other personnel, and maintain and enhance our existing partner network, to provide a high level of customer service. We also will need to effectively manage our direct and indirect sales processes as the number and type of our sales personnel and channel partners continue to grow and become more complex, particularly to the extent we continue to expand into new geographies and vertical markets. This complexity is further driven by the number of products offered through our platform and the various ways in which we sell our platform and products, including on a per subscription or bundled basis. If we do not effectively manage the increasing complexity of our business and operations and the integration of new products, features and functionality added to our platform, the quality of our platform, products, and customer service could suffer and we may not be able to compete effectively. These factors could impair our ability, and our channel partners' ability, to attract new customers, retain existing customers, expand our customers' use of our platform and products, and continue to provide high levels of customer service, all of which would adversely affect our reputation, overall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believe that our corporate culture has been a contributor to our success, which we believe fosters innovation, teamwork and an emphasis on customer-focused results. We also believe that our culture creates an environment that drives and perpetuates our strategy and cost-effective distribution approach. In the past we have, and in the future we may, restructure or reduce our workforce to align people, roles, resources, and projects to our strategic priorities. Any restructuring, reduction or realignment in the workforce has the potential to negatively impact employee morale or make it more difficult to attract and retain talent. As we continue to grow, or if we undertake future restructuring efforts, we may find it difficult to maintain our corporate culture. Preservation of our corporate culture is also made more difficult by our hybrid work environment, and most of our employees continue to work from home on a full time or part time basis. The expanded use of AI may also alter the way in which our employees work and cause us to realign roles and resources. Any failure to preserve our culture could harm our future success, including our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retain and recruit personnel, innovate, operate effectively, and execute on our business strategy. If we experience any of these effects in connection with future growth, it could materially impair our ability to attract new customers, support and retain existing customers and expand their use of our platform, all of which would materially and adversely affect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Seasonality may cause fluctuations in our sales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we have experienced seasonality in sales, as we typically experience a higher percentage of our sales to new customers and renewal subscriptions with existing customers in the fourth quarter of our fiscal year. We believe that this results from the procurement, budgeting, and deployment cycles of many of our customers, particularly our enterprise customers, as well as the timing and structure of our sales compensation programs. Because our contracts typically provide for annual up-front payments, this seasonality is reflected in changes to our deferred revenue and remaining performance obligations. This seasonality is reflected to a much lesser extent, and sometimes is not immediately apparent, in revenue, due to the fact that we recognize subscription revenue ratably over the term of the subscription, which is generally one to three years. We expect that this seasonality will continue to affect our sales and results of operations in the future and might become more pronounced as we continue to target larger enterprise customers. We expect that seasonality may also reduce our ability to predict cash flow and optimize the timing of our operating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not able to maintain and enhance our brand or reputation as an industry leader and innovator, our business, results of operations and financial condition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maintaining and enhancing our reputation as a leader and innovator in the market for security, networking, and analytics is critical to our relationship with our existing customers and channel partners and our ability to attract new customers. The successful promotion of our brand attributes will depend on a number of factors, including our marketing efforts, our ability to continue to develop high-quality products, functionalities and features, and our ability to successfully differentiate our platform and products from competitive products and services. Our brand promotion activities may not be successful or yield increased revenue. In addition, independent industry analysts often provide reports evaluating our products, as well as those of our competitors, and the perception of our platform and products in the marketplace may be significantly influenced by these reports. If these reports are negative, or less positive as compared to those of our competitors, our reputation may be adversely affected. Additionally, the performance of our channel partners may affect our brand and reputation if customers do not have a positive experience with our platform and products as implemented by our channel partners or with the implementation generally. The promotion of our brand requires us to make substantial expenditures, and we anticipate that the expenditures will increase as our market becomes more competitive, as we expand into new geographies and vertical markets, and as more sales are generated through our channel partners. To the extent that these activities yield increased revenue, this revenue may not offset the increased expenses we incur. If we do not successfully maintain and enhance our brand and reputation, the demand for our platform and products may decline, and our business, results of operations and financial condition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international operations expose us to significant risks, and failure to manage those risks could materially and adversely impact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we have derived a significant portion of our revenue from outside the United States. During the six months ended July 31, 2026, EMEA and APJ contributed 26% and 19% of our revenue, respectively, representing 34% and 28% year-over-year growth. As of July 31, 2026, approximately 67% of our full-time employees were located outside of the United States. We have offices in the United Kingdom, France, Spain, India, Taiwan, and other locations. We also host our network of data centers in 80 unique regions with more than 200 localization zones globally. We are continuing to adapt to and develop strategies to address international markets and our growth strategy includes continued expansion into target geographies, but there is no guarantee that such efforts will be successful. We expect that our international operations will continue to grow in the future, as we continue to pursue opportunities in international markets. These international operations will require significant management attention and financial resources and are subject to substantial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economic and social uncertainty or international conflict;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costs for the localization of our platform and products, including translation into foreign languages and adaptation for local practices, data residency, and regulatory requirements;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difficulty in enforcing contracts and accounts receivable collection, and longer collection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or uncertain protection for intellectual property rights in some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risk of unexpected changes in regulatory practices, tariffs and tax laws and treaties;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risk of a failure of foreign employees, partners, distributors and resellers to comply with both U.S. and foreign laws, including antitrust regulations, anti-bribery laws, export and import control laws, trade and economic sanctions and any applicable trade regulations ensuring fair trade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comply with foreign laws and regulations relating to privacy, data protection, data sovereignty, cybersecurity and information security and the risks and costs of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expenses incurred in establishing and maintaining office space and equipment for our international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complying with laws and regulations relating to AI and ML or applicable to specific industries such as finance;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difficulty in identifying, attracting and retaining local qualified personnel, and the costs and expenses associated with such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employment laws and practices, and labor relations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and staffing international offices and increased travel, infrastructure and legal compliance costs associated with multiple international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exchange rates between the U.S. dollar and foreign currencies in markets where we do business and related impact on sales cycles;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military conflicts, natural disasters and catastrophic events on customers, partners, suppliers, employees, and the global economy.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continue to develop and grow our business globally, our success will depend, in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a limited number of vendors and suppliers globally for certain equipment, software, and services that we use to operate our platform and products, and any disruption, whether as a result of tariffs or otherwise, in the availability or price of such equipment, software, and services could increase our expenses or delay our ability to expand or increase the capacity of our global data center network or otherwise operate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a limited number of vendors and suppliers globally for certain of the equipment, software and services we use to operate our global data center network and provide our platform and products to our customers, including sole or limited sourced hardware, software and Software-as-a-Service ("SaaS") services. Our reliance on these vendors and suppliers exposes us to risks, including reduced control over costs and constraints based on the then-current availability, terms and pricing offered by these vendors and suppliers. For example, we generally purchase equipment or the components of equipment on a purchase order basis, with future delivery dates, but do not have long-term contracts guaranteeing supply beyond our purchase orders. In addition, the technology industry has experienced component shortages, delivery delays, price increases and service interruptions in the past, and we may experience shortages, delays, materially increased costs or service interruptions in the future, including as a result of natural disasters, acts of war or international conflicts, epidemics or global pandemics, increased demand in the industry, increased demand for supplies or services used to support AI development, trade policy, or if our suppliers do not have sufficient rights to supply the components in all jurisdictions in which we may host our platform and products. While global economic conditions have not had a material impact on our supply chain to date, these conditions have increased our costs in the past and could result in disruptions, cost increases, and delays for components in the future. For example, industry demand to build new data centers to support the rapid expansion of AI has increased the cost of components and hardware we use in our global network infrastructure, and while we have sufficient quantities of components and hardware for our near term expansion plans, the cost of maintaining and expanding data centers in the future could significantly impact our expenses or affect the expansion of our global network. There is a risk that current geopolitical, diplomatic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other developments affecting the relationship between China and Taiwan may materially and negatively impact the availability of certain critical components that we use in our data centers, which we source from overseas. The availability or price of such components may also be impacted by global trade policy, including the introduction or modification of tariffs affecting such components. For example, the current U.S. presidential administration has and may continue to impose tariffs on countries globally. If our supply of certain components is disrupted or delayed, there can be no assurance that available alternatives can serve as adequate replacements for the existing components or that alternatives will be available on terms that are favorable to us, if at all. Concentration among the vendors who host our co-located data centers may also increase our costs and exposure to business disruptions arising from our relationships with such vendors, including in the event that such vendors experienced a material service interruption or in the event that we are unable to renew our agreements with such vendors on terms that are favorable to us, if at all. Any disruption or delay in access to components, critical software and services that we use to operate our business may increase our costs, delay opening new data centers, delay increasing capacity or replacing defective equipment at existing data centers, or cause other constraints on our operations that could damage our channel partner or customer relationships or otherwise have a material adverse impact on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Adverse economic conditions or reduced security, networking, or analytics spending may adversely impact our revenue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performance and growth depend in part on worldwide economic conditions and the impact these conditions have on levels of spending on security, networking, and analytics. Our business depends on the overall demand for security, networking, and analytics and on the economic health and general willingness of our current and prospective customers to purchase our platform and products. A broad reduction in security, networking, or analytics spending would have a material impact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and the global economy have in the past few years experienced high levels of inflation. While inflation rates have recently moderated, the existence of inflation in the U.S. and global economy and the pricing pressure created by rising inflation in prior periods has resulted, and may continue to result, in high interest rates and capital costs, shipping costs, supply shortages, increased costs of labor, weakening exchange rates and other similar effects. Elevated inflation rates can affect our expenses, especially employee compensation. In addition, rising interest rates could adversely affect the value of our investments and cash on hand and increase our borrowing costs. Inflation and related increases in interest rates could also increase our customers' operating costs, which could result in reduced security, networking, or analytics budgets, less demand for our platform and products, or delays in new orders, renewals or payments due to us. Because our customer contracts have typical terms of one to three years and are generally billed annually in advance, whereas our expenses in delivering cloud security platform are generally expensed as incurred, our ability to adjust our pricing in a timely manner in response to inflation or other macroeconomic conditions is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Governments have implemented and are implementing fiscal policy interventions in response to high levels of inflation, including raising interest rates or keeping them at elevated levels. These interventions may also reduce economic growth rates, create recessions and increase unemployment rates. This could have an adverse effect on our consolidated financial condition and results of operations. For example, if our customers were to reduce their IT budgets or workforces in response to deteriorating economic conditions, they may not purchase or renew subscriptions for our platform and products or may renew for fewer products or users.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or our customers may be affected by changes in trade policies, treaties, government regulations, and tariffs, as well as geopolitical volatility. For example, the current U.S. administration has imposed significant new tariffs on imports from numerous trading partners; such tariffs and retaliatory measures by those trading partners have adversely impacted trade relations, resulted in higher costs, increased pressure on us to provide discounts, and created general market instability, and such effects may continue. A decrease in trade or international cooperation may also result in countries or regions seeking to favor local industries and reduce reliance on foreign vendors, including cloud services and technology providers such as Netskope Trade protection measures, retaliatory actions, tariffs and increased barriers, policies favoring domestic industries, or increased import or export licensing requirements or restrictions could have a negative effect on the overall macro economy and our customers, and our ability to sell our products or deliver services in certain jurisdictions, which could have an adverse impact on our operating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economic conditions, including the ongoing effects of inflation, high interest rates, increased energy and commodity price volatility, trade policy, preference for local suppliers, and regional or global recessions could materially and adversely affect our business, results of operations and financial condition in a number of ways, including by reducing sales, lengthening sales cycles and requiring us to lower prices for our platform and products.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maintain customer satisfaction depends in part on the quality of our customer support, including the quality of the support provided on our behalf by certain channel partners. Failure to maintain high-quality customer support could have an adverse effect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provide high quality support to our customers, our ability to renew subscriptions, increase the number of users and sell additional products to customers may be adversely affected. We believe that successfully delivering our platform and products requires a highly skilled level of customer support and engagement. We or our channel partners must assist our customers to deploy our platform and products, resolve performance issues, address interoperability challenges with a customer's existing network and security infrastructure and respond to security threats and cyberattacks. Many enterprises, particularly large organizations, have very complex networks and require high levels of focused support to fully realize the benefits of our platform. Any failure by us to maintain the expected level of support could reduce customer satisfaction and hurt our customer retention, particularly with respect to our large enterprise customers. Additionally, if our channel partners do not provide support to the satisfaction of our customers, particularly with implementation of our platform and products, we may be required to supplement their customer support ourselves, which would require us to hire additional personnel and to invest in additional resources. We may not be able to hire such resources fast enough to keep up with demand, particularly if the sales of our platform exceed our internal forecasts. We may also not be successful in our efforts to fully onboard new hires and provide adequate training to our employees, many of whom continue to work remotely. To the extent that we or our channel partners are unsuccessful in hiring, training and retaining adequate support resources, our ability and the ability of our channel partners to provide adequate and timely support to our customers will be negatively impacted, and our customers' satisfaction with our platform could be adversely affected. We currently rely in part on contractors provided by third-party service providers internationally to provide support services to our customers, and we expect to expand our international customer service support team to other countries. Any failure to properly train or oversee such contractors could result in a poor customer experience and an adverse impact on our reputation and ability to renew subscriptions or engage new customers. Furthermore, as we sell our platform and products internationally, our support organization faces additional challenges, including those associated with delivering support, training and documentation in languages other than English. Any failure to maintain high-quality customer support, or a market perception that we do not maintain high-quality support, could materially harm our reputation, adversely affect our ability to sell our platform and products to existing and prospective customers and could harm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success depends on the experience and expertise of our senior management team and key employees, particularly our co-founder and Chief Executive Officer, and if we are unable to hire, retain, train, and motivate our personnel, our business, operating results, and prospects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has depended, and continues to depend, on the efforts and talents of our senior management team and key employees, including our leadership team, engineers, product managers, sales and marketing personnel, and professional services personnel. In particular, we are highly dependent on the services of Sanjay Beri, our co-founder and Chief Executive Officer, who is critical to our future vision and strategic direction. We rely on our leadership team in the areas of operations, security, marketing, sales, support and general and administrative functions, and on individual contributors on our research and development team. Although we have entered into employment agreements with our key personnel, these agreements have no specific duration and constitute at-will employment. In June 2026, we announced that we have initiated a search for a new Chief Financial Officer as part of our long-term succession planning. Leadership transitions of this nature involve inherent risk, including the possibility that the search for a successor takes longer than anticipated, that the transition disrupts continuity in our financial planning, reporting, or investor relations functions, or that the departure of an experienced finance leader results in the loss of institutional knowledge that is not readily replaced. Any failure to identify, hire, and successfully transition a new Chief Financial Officer in a timely and effective manner could adversely affect our business, operating results, and financial condition. Our future success will also depend upon our continued ability to identify, hire, and retain additional skilled and highly qualified personnel, which will require significant time, expense, and attention. In addition, changes to U.S. immigration policies, particularly to H-1B and other visa programs, and restrictions on travel could restrain the flow of technical and professional talent into the U.S. and may inhibit our ability to hire qualified personnel.</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employees, including all of our officers and key employees, are employed on an at-will basis, which means that they could terminate their employment with us at any time. The loss of one or more members of our senior management team, particularly if closely grouped, could adversely affect our ability to execute our business plan and thus, our business, operating results, and prospects. We do not maintain key man insurance on any of our officers or key employees, and we may not be able to find adequate replacements.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we approved a restructuring plan, which impacted approximately 5% of our workforce. This reduction may adversely impact our ability to achieve our future operational targets. In the future, we may be unable to hire qualified employees and may be unable to successfully train those employees that we are able to hire, and as a result, employees may not become fully productive on the timelines that we have projected or at all. Further, the reduction could yield unanticipated consequences or disruptions in our day-to-day operations, such as attrition beyond planned staff reductions.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for well-qualified employees in all aspects of our business, including sales, professional services, network engineering, AI/ML, and software engineering, is intense. We have from time to time experienced, and may in the future have, difficulty hiring and retaining employees with appropriate qualifications, and many of the companies with which we compete for experienced personnel have greater resources than we have. If we hire employees from our competitors or other companies, these employees' former employers may attempt to assert that we or these employees have breached legal obligations, resulting in a diversion of our time and resources. We may need to invest significant amounts of cash and equity to attract and retain new employees, and we may never realize returns on these investments. Additionally, many of our employees may be able to receive significant proceeds from sales of our Class A common stock in the public markets, which may reduce their motivation to continue to work for us. If the perceived value of our stock awards declines, it may adversely affect our ability to recruit and retain highly skilled employees. If we are unable to hire, retain, train, and motivate our personnel, our business, operating results, and prospects may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limited experience with our pricing models, and changes in our subscription or pricing models could adversely affect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generate revenue primarily from subscriptions to our platform and products, together with related support services. We offer subscription plans that combine multiple products, and also offer separate subscriptions to individual products and platform functionalities. We have limited experience with respect to determining the optimal prices and pricing models for our subscription plans and products. We have </w:t>
      </w:r>
      <w:r>
        <w:rPr>
          <w:rFonts w:ascii="Times New Roman" w:hAnsi="Times New Roman"/>
          <w:color w:val="222222"/>
          <w:sz w:val="20"/>
        </w:rPr>
        <w:t xml:space="preserve">recently introduced </w:t>
      </w:r>
      <w:r>
        <w:rPr>
          <w:rFonts w:ascii="Times New Roman" w:hAnsi="Times New Roman"/>
          <w:color w:val="000000"/>
          <w:sz w:val="20"/>
        </w:rPr>
        <w:t>pricing models for certain of our AI-related offerings, such as our AI Guardrails and Agentic Broker, based on measures other than the number of human users, such as transaction volume or the number of AI agents deployed. We have limited experience with these newer pricing approaches, and if we are unable to appropriately price and monetize non-user-base capacity and agent-driven activity, our revenue growth and results of operations could be adversely affected. As the markets for our products mature, as we enter into newer product markets for our business, or as competitors introduce new products or services that compete with ours, we may adjust our subscription or pricing models (including changing the activation of services or timing of customers' payments over the course of their subscriptions) or promotional programs. Any decrease in the sales prices for access to our platform and products, without a corresponding decrease in costs or increase in sales volume, would adversely affect our revenue, gross margin, financial condition, and cash flow.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have limited experience in determining which products and functionality to offer as part of our subscription plans and which to offer as separate products. Our limited experience in determining the optimal manner in which to bundle our various products and functionalities could reduce our ability to capture the value delivered by our offerings, which could adversely impact our business, results of operations, and financial condition.</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provide service level commitments under our customer contracts. If we fail to meet these contractual commitments, we could be obligated to provide credits for future service and our business could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 agreements contain service level commitments, which contain specifications regarding the availability and performance of our platform and products. Any failure of or disruption to our infrastructure could impact the performance or availability of our platform and products. If we are unable to meet our stated service level commitments or if we suffer extended periods of poor performance or unavailability of our platform and products, we may be contractually obligated to provide affected customers with service credits for future subscriptions, and, in certain cases, refunds. In addition, the limitation of liability provisions in our customer agreements may not fully or effectively protect us from claims as a result of federal, state or local laws or ordinances or unfavorable judicial decisions in the United States or other countries. We have at times made payments or issued customers credits arising under our service level commitments. Our reputation could be adversely affected, and our revenue, other results of operations and financial condition could be harmed, if we suffer performance issues or downtime that exceeds the service level commitments under our agreements with our customers, particularly if such issues are widespread.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future growth depends, in part, on sales to government entities, which are subject to a number of challenges and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derived approximately 11% and 10%, respectively, of our revenue from sales of our platform and products to federal, state, local, and foreign governments and public universities in fiscal 2026 and fiscal 2025, and a part of our growth strategy is to pursue successful procurement of government and other public sector contracts. Factors that could impede our ability to maintain or increase the amount of revenue derived from the public sector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fiscal or contracting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decreases in overall levels of government spending or available government funding;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government programs, priorities or applicable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adoption of new laws or regulations or changes to existing laws or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changes in the government appropriations or other funding authorization processes, including a government shutdown.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of the foregoing could cause governments, governmental agencies, and others in the public sector to delay or refrain from purchasing our platform and products or otherwise have an adverse effect on our business,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sale of our platform and products to the public sector is tied to budget cycles, and there are government requirements and authorizations that we may be required to meet. Further, we may be subject to audits and investigations relating to the contracts we enter into with the public sector, and violations could result in penalties and sanctions, including contract termination, refunding or forfeiting payments, fines and suspension, or debarment from future public sector business. Selling to these entities can be highly competitive, expensive, and time consuming, often requiring significant upfront time and expense. Public sector entities often require contract terms that differ from our standard arrangements and impose additional compliance requirements, require increased attention to pricing practices, or are otherwise time consuming and expensive to satisfy. For example, some of our government entity customers contract with us on the basis of our authorization under FedRAMP, which has in the past required and may in the future require us to undertake additional actions and expense to ensure compliance. Public sector entities may also have statutory, contractual, or other legal rights to terminate contracts with us or our partners for convenience, for lack of funding, or due to a default, and any such termination may adversely impact our future results of operations. If we represent that we meet certain standards, authorizations (such as FedRAMP), or requirements and do not meet them, or if such authorizations are suspended or revoked, we could be subject to increased liability from our customers, investigation by regulators, or termination rights. Even if we do meet them, the additional costs associated with providing our service to public sector entities could harm our margins. Moreover, changes in underlying regulatory requirements could be an impediment to our ability to efficiently provide our service to public sector customers and to grow or maintain our customer base. Any of these risks related to contracting with public sector entities could adversely impact our future sales and results of operations or make them more difficult to predict.</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acquisitions, strategic investments, partnerships, or alliances could be difficult to identify and integrate, divert the attention of key management personnel, disrupt our business, dilute stockholder value, and adversely affect our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future, we expect that our business strategy may include acquisitions of other companies, products, and technologies. As a function of the industry in which we operate, we may acquire development stage companies that are not yet profitable, and that require continued investment, which could adversely affect our results of operations and liquidity as well as our ability to meet expectations or financial guidance, particularly if such expectations or guidance predate such acquisitions. Development stage companies generally involve a higher degree of risk as compared to later stage companies and have not been proven, require additional capital to develop, and typically do not generate enough revenue to offset increased expenses associated therewith. We also may enter into other strategic relationships with other businesses, which could involve joint ventures, preferred or exclusive licenses, additional channels of distribution, or investments in other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candidates for strategic transactions can be difficult, time-consuming, and costly, and we may not be able to successfully complete identified strategic transactions. The risks we face in connection with strategic transactions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acquisition may negatively affect our operating results or balance sheet because it may require us to incur charges or assume substantial levels of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difficulties or unforeseen expenditures in integrating the business, technologies, products, personnel, or operations of any company that we acquire;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strategic transaction may disrupt our ongoing business, divert resources, increase our expenses, and distract our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acquisition may result in a delay or reduction of customer purchases for both us and the company acquired due to customer uncertainty about continuity and effectiveness of service from either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difficulties in, or may be unable to, successfully sell any acquired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cash in strategic transactions would limit other potential uses for our 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incur debt to fund any strategic transactions, such debt may subject us to material restrictions on our ability to conduct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issue a significant amount of equity securities in connection with future strategic transactions, existing stockholders may be diluted and earnings per share may decrease.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of these risks could adversely affect our business, results of operations, and financial condition.</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effectively manage certain risks and challenges related to our operations in India and Taiwan,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significant presence in India and Taiwan provides important advantages for our business, such as direct access to a large pool of skilled professionals. However, it also creates certain risks that we must effectively manage. As of July 31, 2026, 28.4% of our global work force was based in India and 7.1% of our global work force was based in Taiwan, comprised mostly of R&amp;D, support and operations professionals. Wage costs in India and Taiwan for skilled professionals are currently lower than in the United States for comparably skilled professionals. However, wages and benefit costs in India and Taiwan are increasing at a faster rate than in the United States, which could result in us incurring increased costs for technical professionals at a faster rate. There is intense competition in India and Taiwan for skilled technical professionals, and we expect this competition to increase. As a result, we may be unable to retain our current employee base in India and Taiwan or hire additional new talent or do so cost-effectively. In addition, India has recently experienced significant inflation and low economic growth. India also has experienced natural disasters, civil unrest and terrorism and, in the past, has been involved in conflicts with neighboring countries. If we are unable to effectively manage any of the foregoing risks related to our India and Taiwan operations, our development efforts and operations could be impaired, which could materially and negatively impact our growth and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estimates or judgments relating to our critical accounting policies prove to be incorrect, or financial reporting standards or interpretations change, our operating results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generally accepted accounting principles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described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the fair value allocation of multiple performance obligations in revenue recognition, the assumptions underlying the fair value used for equity-based compensation expense, the fair value of our 3.75% Convertible Senior Paid In Kind ("PIK") Toggle Notes due 2027 (as amended to extend the maturity date to 2028, the "2028 Notes") and our 3.00% Convertible Senior PIK Toggle Notes due 2029 (the "2029 Notes" and, together with the 2028 Notes, the "Convertible Notes") and estimated useful lives, and impairment of intangible assets and goodwill arising from business combinations. Our operating results may be adversely affected if our assumptions change or if actual circumstances differ from those in our assumptions, which could cause our operating results to fall below the expectations of securities analysts and investors, resulting in a decline in the trading price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changes in existing accounting or taxation rules or practices, new accounting pronouncements or taxation rules, or varying interpretations of current accounting pronouncements or taxation practice could harm our operating results or the manner in which we conduct our business. Further, such changes could potentially affect our reporting of transactions completed before such changes are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GAAP is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Adoption of such new standards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for certain essential financial and operational services, and a failure or disruption in these services could materially and adversely affect our ability to manage our business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provide many essential financial and operational services to support our business. Many of these vendors are less established and have shorter operating histories than traditional software vendors. Moreover, these vendors provide their services to us via a cloud-based model instead of software that is installed on our premises. As a result, we depend upon these vendors to maintain the security of their services and provide us with services that are always available and are free of errors or defects that could cause disruptions in our business processes. Any failure by these vendors to do so, such as a compromise in security or any disruption in our ability to access their services or the internet, would materially and adversely affect our ability to manage our operations, and could adversely affect our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track certain business and operational metrics, which are subject to inherent challenges in measurement, and actual or perceived inaccuracies in such metrics may harm our reputation and materially adversely affect our stock price,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track certain business and operational metrics, including metrics such as NRR, which may differ from estimates or similar metrics published by third parties due to differences in sources, methodologies, or the assumptions on which we rely. Our internal systems and tools are subject to a number of limitations, and our methodologies for tracking these metrics may change over time, which could result in unexpected changes to our metrics, including any metrics we publicly disclose. If the internal systems and tools we use to track these metrics undercount or overcount performance or contain algorithmic or other technical errors, the data we report may not be accurate. Investors should not place undue reliance on these metrics as an indicator of our future or expected results. If investors or analysts do not perceive any metrics we publicly disclose to be accurate representations of our business, or if we discover material inaccuracies in such metrics, our reputation, business, results of operations, and financial condition would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estimated market opportunity and forecasts of our market and market growth may prove to be inaccurate. Moreover, even if our estimate of the market size is accurate, there can be no assurance that we will serve a significant portion of the market, and even if our estimated market opportunity achieves the forecasted growth, there can be no assurance that our business will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estimated market opportunity and growth forecasts included in this Quarterly Report on Form 10-Q relating to our market opportunity and the expected growth in those markets are subject to significant uncertainty and are based on assumptions and estimates, which may prove to be inaccurate. The markets for cloud-based security, networking, analytics, and AI security are at an early stage and are rapidly evolving. As a result, the size and future growth of these markets are difficult to accurately estimate and subject to change. In addition, third-party estimates of our addressable markets reflect the opportunity available from all participants and potential participants, and we cannot predict with precision our ability to address this demand or the extent of market adoption of our platform and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market segments we are targeting may grow at different rates. The variables that go into the calculation of our market opportunity are subject to change over time, and there is no guarantee that any particular number or percentage of addressable businesses covered by our market opportunity estimates will purchase our products or generate any particular level of revenue for us. Any expansion in our market opportunity depends on a number of factors, including the cost, performance, and perceived value associated with our products and the products of our competitors. Moreover, even if this market meets our size estimate and experiences the forecasted growth, there can be no assurance that our business will serve a significant portion of this market, and we may not grow our business at a similar rate or at all. Our growth is subject to many factors, including our success in implementing our business strategy, which is subject to many risks and uncertainties. Accordingly, our estimated market opportunity and the forecasts of market growth included in this Quarterly Report on Form 10-Q should not be taken as indicative of our future growth.</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exposed to fluctuations in currency exchange rates, which could negatively affect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contracts are primarily denominated in U.S. dollars, and therefore, most of our revenue is not subject to foreign currency risk. However, in the event of a strengthening of the U.S. dollar against foreign currencies in which we conduct business, the cost of our products to our end-customers outside of the United States would increase, which could lead to a decline in the demand for our platform and products, which could, in turn, adversely affect our financial condition and operating results. The deterioration of currencies in which our customers do business could also increase the likelihood of non-payment and result in requests for concessions or cancellations by customers having significant exposures to such currencies. In addition, increased international sales in the future, including through our channel partners and other partnerships or as a result of our acquisitions, may result in increased foreign currency denominated sales, increasing our 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incurred outside the United States and denominated in foreign currencies are generally increasing and are subject to fluctuations due to changes in foreign currency exchange rates. We may, in the future, establish a foreign exchange hedging program to lessen the effects of currency fluctuations on certain of our non-U.S. dollar denominated currency exposure, however, such program may not successfully mitigate losses caused by currency fluctuations. If we are not able to successfully hedge against the risks associated with foreign currency fluctuations, our financial condition and operating results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become more exposed to currency fluctuations and are not able to successfully hedge against the risks associated with currency fluctuations, our operating results could be materially and adversely affected. Further, unanticipated changes in currency exchange rates may result in poorer overall financial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exposed to the credit and liquidity risk of our customers, and to credit exposure in weakened markets, which could result in material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are made on an open credit basis, according to agreed upon payment terms or contractual billing schedules. Such payment terms or billing schedules subject us to risk of non-payment by our customers, including as a result of insolvency.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the credit risks described above may increase if our customers are adversely affected by a global economic downturn or periods of economic uncertainty. If we are unable to adequately control these risks, our business, operating results, and financial condition could be harmed. In addition, in the past, we have experienced non-material losses due to bankruptcies among customers. If these losses increase due to global economic conditions, they could harm our business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Technology and Our Intellectual Property Rights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obtain, maintain, protect, defend, or adequately enforce our intellectual property or proprietary rights, our competitive position could be impaired, and we may lose valuable assets, generate reduced revenue, and incur costly litigation to protect our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intellectual property and other proprietary rights are an essential asset of our business, and our success and ability to compete depend in part upon protection of our intellectual property and proprietary rights. We rely on a combination of patent, copyright, trademark and trade secret laws, as well as confidentiality procedures and contractual provisions, to establish and protect our intellectual property rights, all of which provide only limited protection. We endeavor to protect our intellectual property and proprietary rights by relying on foreign, federal, state, and common law rights; implementing physical, operational, and managerial protections of our confidential information; and entering into contracts providing for confidentiality obligations, assignment of inventions, licenses of intellectual property and similar contractual terms. The prosecution, defense, enforcement, protection, and maintenance of registrations and applications for registration of intellectual property and proprietary rights require significant resources. Given the costs and expenses of obtaining, maintaining, protecting, exploiting, defending, and enforcing our intellectual property rights, we may choose not to obtain, maintain, protect, exploit, defend, or enforce certain intellectual property rights that later turn out to be important.</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we have taken to protect our intellectual property and proprietary rights may not be sufficient or effective, and our intellectual property and proprietary rights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 Additionally, the U.S. Patent and Trademark Office and various foreign governmental patent agencies require compliance with a number of procedural, documentary, fee payment and other similar provisions during the patent application process and to maintain issued patents. There are situations in which noncompliance can result in abandonment or lapse of the patent or patent application, resulting in partial or complete loss of patent rights in the relevant jurisdiction. If this occurs, it could materially harm our business, operating results,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effective in policing unauthorized use of our intellectual property rights, and even if we do detect violations, litigation may be necessary to enforce our intellectual property rights. In addition, our intellectual property may be stolen, including by cybercrimes, and we may not be able to identify the perpetrators or prevent the exploitation of our intellectual property by our competitors or others.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either of which could harm our business, operating results and financial condition.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operating results, financial condition and prospects. Even if we are able to secure our intellectual property rights, we cannot assure you that such rights will provide us with competitive advantages or distinguish our platform and products from those of our competitors or that our competitors will not independently develop similar technology, duplicate any of our technology, or design around our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it is our policy to require our employees, contractors, and other parties with whom we conduct business who may be involved in the conception or development of intellectual property for us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 although it is our policy to enter into confidentiality agreements with employees and third parties to protect our trade secrets and other proprietary rights, we cannot guarantee that we have entered into such agreements with each party that has or may have had access to our trade secrets, confidential information, software, or other proprietary technology and, even if entered into, these agreements may otherwise fail to effectively prevent disclosure of our proprietary or confidential rights, information, or technologies, may be limited as to their term, or may not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an adequate remedy in the event of unauthorized disclosure, misappropriation, use, or other violation of our trade secrets, confidential information, and other proprietary rights or technologies.</w:t>
      </w:r>
    </w:p>
    <w:p>
      <w:pPr>
        <w:pStyle w:val="TextBody"/>
        <w:bidi w:val="0"/>
        <w:spacing w:before="360" w:after="283"/>
        <w:jc w:val="left"/>
        <w:rPr>
          <w:rFonts w:ascii="Times New Roman" w:hAnsi="Times New Roman"/>
          <w:sz w:val="20"/>
        </w:rPr>
      </w:pPr>
      <w:r>
        <w:rPr>
          <w:rFonts w:ascii="Times New Roman" w:hAnsi="Times New Roman"/>
          <w:b/>
          <w:i/>
          <w:color w:val="000000"/>
          <w:sz w:val="20"/>
        </w:rPr>
        <w:t>Our use of AI and ML, and the integration of AI and ML within our platform and products, may not be successful and may present business, compliance, and reputational challenges, which could lead to operational or reputational damage, competitive harm, legal and regulatory risk, and additional costs, any of which could adversely affect our business,</w:t>
      </w:r>
      <w:r>
        <w:rPr>
          <w:rFonts w:ascii="Times New Roman" w:hAnsi="Times New Roman"/>
          <w:color w:val="000000"/>
          <w:sz w:val="20"/>
        </w:rPr>
        <w:t xml:space="preserve"> </w:t>
      </w:r>
      <w:r>
        <w:rPr>
          <w:rFonts w:ascii="Times New Roman" w:hAnsi="Times New Roman"/>
          <w:b/>
          <w:i/>
          <w:color w:val="000000"/>
          <w:sz w:val="20"/>
        </w:rPr>
        <w:t>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incorporated, and expect to continue to incorporate, AI and ML into our platform and products. The rapid evolution of AI and ML requires the application of resources to develop, test and maintain our platform and products to help ensure that AI and ML are implemented responsibly in order to benefit our business, while also minimizing any unintended or harmful impact. As with many developing technologies, AI and ML present risks and challenges, many of which may be unknown, that could affect their further development, adoption and use. These risks and challenges could undermine public confidence in AI and ML, which could slow or even halt its adoption and negatively affect our business. Further, quickly-evolving legal and regulatory environments and evolving industry standards and policy recommendations relating to social and ethical issues related to AI and ML, may cause us to incur increased research and development or compliance costs or divert resources from development or other efforts, and may cause our customers to undertake longer reviews prior to purchasing or implementing our solutions. The use of AI and ML technologies presents emerging ethical issues that could become controversial. As a result of these and other challenges associated with our use, development, and implementation of AI and ML, we may in the future be subject to new and evolving rules and regulations regulating AI in various jurisdictions, such as the European Union's AI Act and state legislation proposed, and in certain cases enacted, in the U.S. addressing AI, new and evolving applications of data protection, privacy, cybersecurity, information security, intellectual property and other laws, legal claims, demands and liability, regulatory investigations and other proceedings, competitive harm, and brand or reputational harm.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begun using AI-based tools as part of our internal development processes to help identify potential vulnerabilities in our own code and in third-party components we incorporate into our platform. These tools may surface a greater volume of issues requiring remediation than we have historically experienced, and the engineering resources required to address them may divert time and attention from new product development, and any failure to timely remediate a significant vulnerability identified through these tools could itself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AI capabilities continue to advance, customers, investors, and industry commentators may increasingly question whether functions historically requiring dedicated security, networking, or analytics products will become automated, commoditized or substantially provided by general-purpose AI tools or platforms. Perceptions of this kind, whether or not they accurately reflect the actual capabilities of AI technologies or the differentiated value of our platform, could influence customer purchasing decisions, competitive dynamics in our industry, or the trading price of our Class A common stock, independent of any actual change in our business, financial condition, or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introduce new security, networking, and analytics products, features, and functionality is dependent on adequate research and development resources. If we do not adequately fund our research and development efforts, we may not be able to compete effectively, and our business and results of operations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in which we compete is relatively new and subject to rapid technological change, evolving industry standards, and changing regulations, as well as changing customer needs, requirements, and preferences. To remain competitive, we must continue to offer new security, networking, and analytics products, features, and functionalities and enhancements to our platform and products. Maintaining adequate research and development resources, such as the appropriate personnel and development technology, to meet the demands of the market, is essential. We may be unable to develop products, features, and functionality internally due to certain constraints, such as hiring and retaining employees with the necessary skills and experience, lack of management ability, or a lack of other research and development resources. Additionally, we have and will continue to incorporate AI into our product development and releases, but there can be no assurance that we will realize the desired or anticipated benefits from AI in a timely or cost-effective manner. Further, many of our competitors expend a considerably greater amount of funds on their respective research and development programs, and those that do not may partner with or be acquired by larger companies resulting in the devotion of greater resources to our competitors' research and development programs. Our failure to maintain adequate research and development resources or to compete effectively with the research and development programs of our competitors would give an advantage to such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and our business, results of operations, and financial condition could be adversely affected. Moreover, our research and development efforts may not successfully anticipate market needs or result in significant new marketable products or enhancements to our platform and products, design improvements, cost savings, revenues, or other expected benefits. Any new products, features, or functionalities that we develop or acquire might not be introduced in a timely or cost-effective manner and might not achieve the broad market acceptance necessary to generate significant revenue. If we are unable to generate an adequate return on such investments, we may not be able to compete effectively, and our business and results of operations may be adversely affected. There can be no assurance that we will successfully identify opportunities for new products, develop and bring new products to market in a timely manner, achieve market acceptance of our platform and products, or that products and technologies developed by others will not render our platform, products, and technologies obsolete or noncompetitive.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global network of data centers that deliver our platform and products was damaged or otherwise failed to meet the requirements of our business, our ability to provide our platform and products to our customers and maintain the performance of our platform and products could be negatively impacted, which could cause our business to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host our platform and products and serve our customers from a global network of over 125 data centers. While we have electronic access to the components and infrastructure of our platform that are hosted by third parties, we do not control the operation of these facilities. Consequently, we may be subject to service disruptions as well as a lack of adequate support for our data center operations due to reasons that are outside of our direct control. Our data centers are vulnerable to damage and connections to our data centers may be interrupted by a variety of sources, including terrorism, military actions, earthquakes, floods, fires, power loss, system or infrastructure failures, computer viruses, physical or electronic break-ins, human error or interference (including by disgruntled employees, former employees or contractors) and other catastrophic events, some of which may be exacerbated by the effects of climate change. Our data centers may also be subject to national or local administrative actions; changes in government regulations, including, for example, the impact of global economic and other sanctions like those levied in response to the current conflict between Russia and Ukraine; changes to legal or permitting requirements and litigation to stop, limit or delay operations. Despite precautions taken at these facilities, such as disaster recovery and business continuity arrangements, the occurrence of a natural disaster, military strike or an act of terrorism, a decision to close the facilities without adequate notice or other unanticipated problems at these facilities could result in interruptions or delays in our platform and products, impede our ability to scale our operations or have other adverse impacts upon our business. In addition, if we do not accurately plan for our infrastructure capacity requirements or experience significant strains on our data center capacity, we may experience delays and additional expenses in arranging new data centers, and our customers could experience performance degradation or service outages that may subject us to financial liabilities, result in customer losses and materially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networks, systems or data used in our business are or are perceived to have been breached or otherwise compromised, our platform and products may be perceived as insecure, our reputation may be damaged and our financial results may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 attacks or other cybersecurity breaches, incidents, or disruptions with respect to our networks, systems, or applications, or those of our vendors, including loss or unavailability of, or unauthorized access to, or disclosure or other processing of, our proprietary, confidential, or sensitive information, including personal information, could disrupt our operations, compromise sensitive information related to our business or personal information processed by us or on our behalf, and expose us to liability, which could harm our reputation and adversely affect our business, results of operations, and financial condition. It is virtually impossible for us to entirely mitigate the risk of breaches of our platform or other security incidents affecting our platform or the systems, networks or data used in our business. As we grow, we may become a more attractive target for cyber attacks. Our security, networking, and analytics products analyze and otherwise process proprietary and confidential information, including personal information. Companies in our industry are subject to a wide variety of attacks on their networks and systems. As a well-known provider of security, networking, and analytics, we pose an attractive target for such attacks, and as our footprint grows larger, we may become an even more attractive target for cyber attacks. We and the vendors on which we rely, have previously experienced, and may in the future experience, various cybersecurity incidents and other attempts to access or disrupt our networks, systems, and applications. For example, in February 2023, we experienced a significant denial of service attack, which was mitigated within hours but temporarily impacted performance and some services. We face threats from a variety of sources, including sophisticated nation-state and nation-state supported actors, cyber criminals, terrorists, and politically motivated groups or individuals that pose risks to our networks and systems, our platform, our third-party service providers, and our customers' systems and the proprietary, confidential, or sensitive information, including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personal information processed by us or on our behalf. The growth in state sponsored cyber activity, including those actions taken in connection with the current conflicts between Russia and Ukraine and in the Middle East, showcase the increasing sophistication of cyber threats. As a result, we may be unable to anticipate these techniques or implement adequate measures to prevent an electronic intrusion into our customers through our platform or to prevent breaches and other security incidents affecting our platform, internal networks, systems or data. Further, we may be unable to remediate or otherwise respond to any identified breach or other incident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nature of the attacks perpetrated against us and our vendors may include, among others, social engineering attacks (such as deep fakes), targeted phishing attacks, advanced attacks conducted or sponsored by nation-states or affiliated actors, advanced persistent threat intrusions, ransomware and other malware and malicious code, theft of sensitive information, exploitation of our platform and products as part of a supply chain attack against our customers, distributed-denial-of-service attacks, manipulation of data, or others. Any of these attacks, if successful, can lead to significant interruptions in our operations, loss of sensitive data and income, reputational harm, and diversion of funds. We currently expend significant, and may in the future be required to expend significantly more, capital and financial resources to protect against any such threats or to alleviate problems caused by breaches in 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increasingly difficult to integrate companies into our IT environment and security program successfully, or at all. Advances in quantum computing could result in standard public-key cryptography and other protocols used in our platform and solutions becoming ineffective. If quantum computing technology is developed that is capable of breaking standard cryptographic measures, our platform and business could face material risk. In addition, advances in other technology, including increased adoption of AI technology by us and third-party partners, and an increased level of sophistication and expertise of hackers (including through the malicious use of AI technology), may also increase the risks of cybersecurity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significant efforts to create security barriers to safeguard against such threats, it is impossible for us to entirely mitigate these risks. Despite our security measures and our cybersecurity risk management program, our and our vendors' IT and infrastructure may be vulnerable to security risks, including loss or theft of, damage to, or unauthorized access to, use, disclosure or other processing of proprietary information or other customer data, employee error or misconduct, denial of service attacks, and other means to disrupt our platform or our or our service providers' networks and systems, and hacking attacks or other cyber attacks originated from our infrastructure. The security measures we have integrated into our networks, systems and platform, which are designed to detect unauthorized activity and help protect our proprietary, confidential, or sensitive information, including personal information, and to help prevent data loss and prevent or minimize security breaches, incidents, or disruptions, may not function as expected or may not be sufficient to protect our internal networks and platform against certain attacks. In addition, techniques used to sabotage or obtain unauthorized access to networks in which data is stored or through which data is transmitted change frequently, generally are not recognized until launched against a target, and may be difficult to discover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For example, threat actors may leverage emerging AI technologies to develop new hacking tools and attack vectors, discover and exploit vulnerabilities, obscure their activities, increase the frequency or intensity of attacks, and increase the impacts of attacks and the difficulty of threat attribution and remediation. The growing accessibility of AI-assisted tools has also begun to narrow the gap in sophistication between well-resourced threat actors and less experienced ones, enabling a broader range of actors to assemble, customize, and deploy attack techniques that have historically required significant technical expertise, which may increase the overall volume and variety of attacks directed at us, our vendors, and our customers. Such cyber attacks and other cybersecurity breaches, incidents, or disruptions may continue to evolve in frequency and sophistication, and we may be unable to anticipate these techniques and implement adequate preventative, detection, mitigation or other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actual or perceived breach of security occurs with respect to, or an actual or perceived security incident impacts, us or any of our vendors, whether as result of third-party action, employee error, malfeasance, or otherwise, the market perception of the effectiveness of our security measures could be harmed, our brand and reputation could be impacted, we could lose potential sales and existing customers, our ability to operate our business could be impaired, we could be subject to claims, demands and litigation, regulatory audits, investigations, enforcement actions and other proceedings, additional reporting requirements, and restrictions on data processing, and we may be subject to fines or penalties or otherwise incur significant liabilities. Some of our contracts may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contain relatively high limitations of liability for such events, and even where they do, there can be no assurance that any such limitations of liability are or will be sufficient to protect us from liabilities, damages, or claims related to any such actual or perceived breaches or incidents. Further, our platform and products may be perceived as less desirable, which could negatively affect our business and damage our reputation. Our ability to retain existing customers, expand product adoption and penetration with our existing customers, and acquire new customers is dependent upon our reputation as a trusted provider of security, networking, and analytics. The importance of our reputation in retaining existing business and acquiring new business is heightened by our focus on enterprise customers. In addition, we have numerous customers that operate in highly-regulated industries in which our customers' data is considered particularly sensitive, such as financial services and healthcare. An actual or perceived security breach or incident could damage our relationships with customers, result in the loss of customers, and make it more challenging to acquire new customers, and such damage would likely be heightened in the event a network or security breach or incident occurred in the highly-regulated industries we serve.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involve analyzing and processing our customers' and other third parties' confidential and proprietary information, including, in some cases, personal information. We have legal and contractual obligations with respect to the confidentiality and use of such information. Security incidents impacting our platform or the systems of our third-party service providers could result in a risk of loss of, damage to, or unauthorized access to or acquisition, use, disclosure, or other processing of the information we process on behalf of our customers. Any such actual or perceived incident could require notification under applicable laws and regulations or other actual or asserted obligations to which we are or may become subject and could lead to claims, demands, and litigation, regulatory audits, investigations, enforcement actions, and other proceedings, and fines, penalties and other possible liability, damage our relationships with our existing customers, trigger indemnification and other contractual obligations, cause us to incur investigation, mitigation, and remediation expenses, and have a negative impact on our ability to attract and retain new customers. Furthermore, any such incident, including a breach of our customers' systems, could compromise our networks or networks secured by our platform and products, creating system disruptions or slowdowns and exploiting security vulnerabilities of our or our customers' networks, and the information stored on or otherwise processed by our or our customers' systems could be accessed, disclosed, or otherwise processed without authorization, altered, lost, or stolen, which could subject us to liability and cause us financial harm. An actual or perceived breach of, or incident impacting, our networks, our customers' networks, those of our vendors or other networks secured by our platform and products, whether or not due to a vulnerability in our platform, may also undermine confidence in our platform or our industry and result in expenditure of significant resources in efforts to analyze, correct, eliminate, or work around errors or defects, delayed or lost revenue, delay in the development or release of new products, features, or functionalities, an increase in collection cycles for accounts receivable, damage to our brand and reputation, negative publicity, loss of channel partners, customers and sales, increased costs to remedy any problem, increased insurance expense, and costly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maintain insurance, our insurance may be insufficient to cover all liabilities incurred in relation to actual, perceived or purported security breaches or other security incidents. We also cannot be certain that our insurance coverage will be adequate for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a high-profile security breach or incident occurs with respect to another security, networking, or analytics provider, our customers and potential customers may lose trust in the value of security, networking, and analytics solutions generally, including our platform and products, which could adversely impact our ability to retain existing customers or attract new ones, potentially causing a negative impact on our business. Any of these negative outcomes could adversely impact market acceptance of our platform and products and could adversely affect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actual or perceived failure of our platform and products to block malware or prevent a security breach or incident could harm our reputation and adversely impact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platform and products may fail to detect or prevent security breaches or incidents for any number of reasons. Our platform is complex and may contain performance issues that are not detected until after its deployment. We also provide frequent product, feature, and functionality updates and enhancements, which increases the possibility of errors, and our reporting, tracking, monitoring and quality assurance procedures may not be sufficient to ensure we detect any such defects in a timely manner. We have in the past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identified, and may in the future identify, vulnerabilities in our platform and products, including due to reporting from bounty hunting programs. Even once identified, addressing vulnerabilities may require customers to take action to reconfigure their systems or our product implementation to resolve such vulnerabilities, and customers' failure to timely take such actions may result in the perceived failure of our platform and products to perform satisfactorily. The performance of our platform can be negatively impacted by our failure to enhance, expand or update our platform, bugs, errors or defects in our software, improper classification of websites by our vendors who provide us with lists of malicious websites, improper deployment or configuration of our platform and products and many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techniques used by cyber threat actors, including state sponsored actors, to access or sabotage networks and other systems change frequently and generally are not recognized until launched against a target. There is a risk that our platform and products are unable to detect or prevent cyber threats until after our customers are impacted. The growth in AI and state sponsored cyber activity showcases the increasing sophistication of cyber threats and dramatically expands the global threat landscape. Moreover, as our platform and products are adopted by an increasing number of enterprises, it is possible that the individuals and organizations behind cyber threats will focus on finding ways to defeat our platform and products or to target our systems. If this happens, our platform and products could be targeted by attacks designed to defeat our platform and products, disrupt our business, or create the perception that our platform and products are not capable of providing superior security, any of which could have a serious impact on our reputation as a provider of security, networking, and analytics. Further, high profile security breaches or incidents, whether actual, perceived, or purported, and in particular those of security, networking, or analytics providers, may cause our customers and potential customers to lose trust in security, networking, and analytics solutions generally, and with respect to security in particular, which could materially and adversely impact our ability to retain existing customers or attract new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Increasingly, enterprises are subject to a wide variety of attacks on their networks and systems, including traditional threat actors, malicious code (such as viruses and worms), social engineering attacks (such as deep fakes), targeted phishing attacks, distributed denial-of-service attacks, advanced attacks conducted or sponsored by nation-states or affiliated actors, advanced persistent threat intrusions, ransomware and other malware and theft or misuse of intellectual property or business or personal data, including by disgruntled employees, former employees or contractors. No security solution, including our platform and products, can address all possible attacks or other security threats, which are becoming increasingly frequent and sophisticated with the development and proliferation of AI and ML, or block all methods of penetrating a network or otherwise perpetrating a security breach or incident. Our customers typically rely on complex network and security infrastructures, which include products and services from multiple vendors, to secure their networks. If any of our customers becomes infected with malware or experiences a security breach or incident, or if this is perceived or purported to have occurred, such customer could be disappointed with our platform and products, regardless of whether our platform and products are intended to block the attack or other means of perpetrating the incident or would have done so if our platform was configured properly. Additionally, if any enterprise known to use our platform and products is the subject of an actual, perceived or purported cyberattack or security breach or incident that becomes publicized, our current or potential customers may look to our competitors for alternatives to our platform and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limitation of liability provisions in our standard terms and conditions of sale may not fully or effectively protect us from any or all claims under or as a result of federal, state, or local laws or ordinances, unfavorable judicial decisions in the United States or other countries, or otherwise. In addition, even claims that ultimately are unsuccessful could result in our expenditure of funds in litigation, divert management's time and other resources, and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industry or financial analysts and research firms test our products against other security products. Our platform and products may fail to detect or prevent threats in any particular test for a number of reasons, including misconfiguration. To the extent potential customers, industry or financial analysts or testing firms believe that the occurrence of a failure to detect or prevent any particular threat is a flaw or indicates that our platform and products do not provide significant value, our reputation and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actual or perceived flaws in our platform or any actual, perceived or purported security breaches or other security incidents impacting our customers could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loss of existing or potential customers or channel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delayed or lost sales and harm to our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delay in attaining, or the failure to attain, market acceptance;</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expenditure of significant financial resources in efforts to analyze, correct, eliminate, remediate or work around errors or defects, to address and eliminate vulnerabilities and to address any applicable legal or contractual obligations relating to any actual, perceived or purported security breach or incident;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publicity and damage to our reputation and brand;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 claims and demands (including for stolen assets or information, repair of system damages, and compensation to customers and business partners), litigation, regulatory inquiries or investigations and other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results could materially and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with data security being a critical competitive factor in our industry, we make public statements in our policies, on our website, and elsewhere describing the security or performance of our platform and products. As a result, we may face claims, including claims of unfair or deceptive trade practices alleging these statements are not accurate, brought by the U.S. Federal Trade Commission, state, local or foreign regulators and private litigants.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platform and products may be used by customers or third parties that obtain access to or influence the uses of our products in ways viewed as objectionable or that could violate local law or regulation. For example, some jurisdictions impose content moderation requirements on the internet, and operation of our platform and products in such jurisdictions may require us to comply with or facilitate such content moderation or censorship. In other jurisdictions such as certain European nations, the use of certain of our product features to monitor user activities is restricted or prohibited by applicable data privacy regulations or employment related rights. The use of our platform and products to facilitate such activities could result in negative press coverage and negatively affect our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Interruptions, outages, or other disruptions affecting the delivery or use of our platform and products, or any of the third-party cloud-based systems that we use in our operations, may adversely affect our business,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continued growth depends in part on the ability of our existing customers and new customers to consistently access our platform and products at any time and within an acceptable amount of time. Any interruption or delay in the delivery of our platform and products will negatively impact our customers. One function of our platform and products is to enable secure connections to cloud-based applications and other destinations via the internet. Our customers depend on the continuous availability of our platform and products to access the internet, and our platform and products are designed to operate without interruption in accordance with our service level commitments. However, our platform and products are complex and may contain defects or errors that are not detected until after deployment. Further, some of our software and features are powered by ML and AI, which depend on datasets and algorithms that could be flawed, including through inaccurate, insufficient, outdated, or biased data. In addition, our ability to access certain third-party cloud or SaaS solutions, including those of our service providers and of our customers, is important to our operations and the delivery of our customer support and professional services. If we fail to timely detect defects or errors affecting deployment or use, or if our entire platform or individual products were to fail, customers and users could lose access to critical services and applications until such disruption is resolved or customers deploy disaster recovery measures to bypass our platform and products to access the internet. The adverse effects of any service interruptions on our reputation and financial condition may be disproportionately heightened due to the nature of our business and the fact that our customers expect continuous and uninterrupted service and have a low tolerance for interruptions of any duration. While we do not consider them to have been material, we have experienced, and may in the future experience, service disruptions and other performance problems due to a variety of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factors, many of which are beyond our control, can affect the delivery and availability of our platform and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maintenance of the infrastructure of the internet;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and availability of third-party telecommunications services with the necessary speed, data capacity and security for providing reliable internet access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decisions by the owners and operators of the data centers where our NewEdge global private cloud network ("NewEdge network") infrastructure is deployed or by global telecommunications service provider partners who provide us with network bandwidth to terminate our contracts, discontinue services to us, shut down operations or facilities, increase prices, change service levels, limit bandwidth, declare bankruptcy or prioritize the traffic of other parties;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earthquakes, floods, fires, pandemics, power loss, system failures, physical or electronic break-ins, acts of war, international conflicts (such as the current conflicts between Russia and Ukraine and in the Middle East) or terrorism, human error or interference (including by disgruntled employees, former employees or contractors) and other catastrophic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 attacks, including denial of service attacks, targeted at, directed toward, or otherwise impacting us, our data centers, our global telecommunications service provider partners, third-party SaaS solutions we use, or the infrastructure of the internet;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action to limit access to the internet or telecommunications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us to maintain and update our cloud infrastructure to meet our traffic capacity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errors, defects or performance problems in our software, including those potentially introduced by our software updates and third-party software incorporated in our software, which we use to operate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improper classification of Internet Protocol ("IP") addresses used to provide our platform and products as malicious sites by customers or third-party reputation services which result in access to or by our platform and products being restricted;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improper classification of websites by our vendors who provide us with lists of malicious websites;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improper deployment or configuration of our platform and products by us, our channel partners, or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of our redundancy systems, in the event of a service disruption at one of our data centers, to provide failover to other data centers in our data center network;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our disaster recovery and business continuity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of these factors, or if we are unable to efficiently and cost-effectively fix such errors or other problems that may be identified, could damage our reputation, negatively impact our relationship with our customers or otherwise materially harm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provide our platform and products through a cloud-based inline proxy, and some governments, third-party products, websites or services may block proxy-based traffic under certain circumstances. For example, vendors may attempt to block traffic from our platform and products or blacklist our IP addresses because they cannot identify the source of the proxy-based traffic. Our competitors may use this as an excuse to block traffic from their solutions or blacklist our IP addresses, which may result in our customers' traffic being blocked from our platform and products. If our customers experience significant instances of traffic blockages, they will experience reduced functionality or other inefficiencies, which would reduce customer satisfaction with our platform and products and likelihood of renewal.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and may in the future experience, service disruptions, outages, and other performance problems both in the delivery of our platform and products and in third-party SaaS solutions we use due to a variety of factors, including infrastructure changes, malicious actors, human or software errors, or capacity constraints. In some instances, we may not be able to identify the cause or causes of these performance problems within an acceptable period of time. If our platform and products or the third-party SaaS solutions we depend on are unavailable or if our customers are unable to access our platform and products within a reasonable amount of time or at all, our business would be negatively affected.</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host our platform and products primarily using our own dedicated private cloud infrastructure known as the NewEdge network. Although we have disaster recovery plans that utilize multiple locations, any incident affecting our infrastructure that may be caused by fire, flood, severe storm, earthquake, or other natural disasters, cyber attacks, terrorist, military or other attacks, public health issues, or other similar events could negatively affect our platform and products. A service disruption affecting our platform and products for any of the foregoing or other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NewEdge network, which would also likely require significant investments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rely on third-party software to provide many essential financial and operational services to support our business. Some of these vendors are less established and have shorter operating histories than traditional software vendors. Moreover, many of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Interruptions, outages, or other disruptions affecting third-party SaaS solutions that we rely on can significantly impact our business, operating results, and financial condition. Such disruptions could cause operational delays, inefficiencies, and customer dissatisfaction, which could result in increased customer churn, revenue loss, and increased mitigation costs and potential penalties for not meeting service-level agreements. Frequent or significant disruptions could damage our reputation, making it harder to attract and retain customers. Additionally, service disruptions can result in non-compliance with regulatory requirements, which could lead to legal penalties and increased scrutiny.</w:t>
      </w:r>
    </w:p>
    <w:p>
      <w:pPr>
        <w:pStyle w:val="TextBody"/>
        <w:bidi w:val="0"/>
        <w:spacing w:before="360" w:after="283"/>
        <w:jc w:val="left"/>
        <w:rPr>
          <w:rFonts w:ascii="Times New Roman" w:hAnsi="Times New Roman"/>
          <w:sz w:val="20"/>
        </w:rPr>
      </w:pPr>
      <w:r>
        <w:rPr>
          <w:rFonts w:ascii="Times New Roman" w:hAnsi="Times New Roman"/>
          <w:b/>
          <w:i/>
          <w:color w:val="000000"/>
          <w:sz w:val="20"/>
        </w:rPr>
        <w:t>Incorrect or improper implementation or use of our platform and products could result in customer dissatisfaction and harm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platform and products are deployed in a wide variety of IT infrastructures, including large-scale, complex technology environments, and we believe our future success will depend, at least in part, on our ability to support such deployments. Implementations of our platform and products may be technically complicated, and it may not be easy to maximize the value of our platform and products without proper implementation, training, and support. Some of our customers have experienced difficulties implementing our platform and products in the past and may experience implementation difficulties in the future. If we, our channel partners or our customers do not implement our platform and products successfully, customer perceptions of our platform and products may be impaired, our reputation and brand may suffer, or customers may choose not to renew their contracts or purchase additional products from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by customers to appropriately implement our platform and products could result in customer dissatisfaction, impact the perceived reliability of our platform and products, result in negative press coverage, negatively affect our reputation, and harm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platform and products do not interoperate with our customers' systems and security infrastructure or with third-party products, websites or services, our platform and products may become less competitive, and our results of operations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platform and products must interoperate with our customers' existing and planned systems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platform and products to customers with highly complex and customized systems, which requires careful planning and execution between our customers, our customer support teams and our channel partners. Further, when new or updated elements of our customers' infrastructure or new industry standards, regulations, or protocols are introduced, we may have to update or enhance our platform and products to allow us to continue to serve customers. Our competitors or other vendors may refuse to work with us to allow their products to interoperate with our platform and products, which could make it difficult for our platform and products to function properly in customer networks that include these third-party products.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deliver or maintain interoperability quickly or cost-effectively, or at all. These efforts require significant capital investment and engineering resources. If we fail to maintain compatibility of our platform and products with our customers' network, security, and analytics infrastructures, our customers may not be able to fully utilize our platform and products, and we may, among other consequences, lose or fail to increase our market share and experience reduced demand for our platform and products, which would materially harm our business,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use third-party licensed software and cloud services in or with our platform and products, and the inability to maintain these licenses or issues with the software we license or services we leverage could result in increased costs or reduced service levels, which would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platform and products include software or other intellectual property licensed from certain third parties, and we use certain software (including traditional software as well as AI models and cloud applications), and other intellectual property licensed from third parties in our business. We anticipate that we will continue to rely on such third-party software and intellectual property in the future, and from time to time, we may be required to renegotiate our current third-party licenses or license additional technology from third parties to develop new products, features, and functionality, enhancements thereto, or to facilitate new business models. This exposes us to risks over which we may have little or no control. For example, the third-party software we currently license may not always be available, or available on commercially reasonable terms, and we may not have access to alternative third-party software in the event of any issues with such software. When our licenses for such software expire, our costs may increase or we may not be able to maintain or renew such licenses on commercially reasonable terms. In addition, a third party may assert that we or our customers are in breach of the terms of applicable licenses, which could, among other things, force us to cease use of such software and give such third party the right to terminate the applicable license or seek damages from us, or both. Additionally, we may not have the right to control the maintenance, prosecution, preparation, filing, enforcement, defense, or litigation of intellectual property that we license from third parties and are reliant on our licensors to do so. We also cannot be certain that activities such as intellectual property protection, maintenance, prosecution, and enforcement by our licensors have been or will be conducted consistent with our best interests or in compliance with applicable laws and regulations or will result in valid and enforceable intellectual property rights. It is possible that our licensors' infringement proceedings or defense activities may be less vigorous than had we conducted them ourselves or may not be conducted in accordance with our best interests. Furthermore, we cannot be certain that our licensors are not infringing, misappropriating, or otherwise violating the intellectual property rights of third parties or that our licensors have sufficient rights to the licensed intellectual property in all jurisdictions in which we may offer our platform and products. Our inability to obtain or maintain certain licenses or other rights, to obtain or maintain such licenses or rights on favorable terms, or the need to engage in litigation or any other proceedings regarding these matters could result in delays in releases of new products, features, or functionalities and could otherwise disrupt our business, until equivalent technology can be identified, licensed, or developed, if at all. Also, to the extent that our platform and products depend upon the successful operation of third-party software in conjunction with our software, any undetected errors, vulnerabilities, compromises, or defects in such third-party software could prevent the deployment or impair the functionality of our platform and products, delay introduction of new products, features, or functionalities, result in a failure of our platform or products, and injure our reputation. Any of the foregoing could materially adversely affect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by others that we infringe their proprietary technology or other rights, or other lawsuits asserted against us, could result in significant costs and substantially harm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In addition, patent holding companies seek to monetize patents they previously developed, have purchased or otherwise obtained. Many companies, including our competitors, may now, and in the future, have significantly larger and more mature patent, copyright, trademark and trade secret portfolios than we have, which they may use to assert claims of infringement, misappropriation and other violations of intellectual property rights against us and which may lead to litigation. For example, in 2022, we filed in the Northern District of California for declaratory judgement in response to communications by Fortinet alleging that we have been infringing certain of their patents, which proceedings and related litigation remain ongoing. In addition, intellectual property litigation may involve non-practicing entities or other patent owners who have no relevant product offerings or revenue and against whom our own patents may therefore provide little or no deterrence or protection. As we face increasing competition and gain an increasingly higher profile the possibility of intellectual property rights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against us grows. Claims asserting that we are infringing third parties' intellectual property, even if without merit, could harm our business, including by increasing our costs, reducing our revenue, creating customer concerns that result in delayed or reduced sales, distracting our management from the running of our business and requiring us to cease use of important intellectual property. In addition, because patent applications can take years to issue and are often afforded confidentiality for some period of time, there may currently be pending applications, unknown to us, that later result in issued patents that could cover one or more of our products. Moreover,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Furthermore, because of the substantial amount of discovery required in connection with patent and other intellectual property rights litigation, there is a risk that some of our confidential information could be compromised by the discovery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number of products and competitors in our market increases and overlaps occur, claims of infringement, misappropriation and other violations of intellectual property rights may increase. Our insurance may not cover intellectual property rights infringement claims. Third parties have in the past and may in the future also assert infringement claims against our customers or channel partners, with whom our agreements may obligate us to indemnify against these claims. In addition, to the extent we hire personnel from competitors, we may be subject to allegations that such employees have divulged proprietary or other confidential information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U.S. Supreme Court, other U.S. federal courts and the U.S. Patent and Trademark Appeals Board, and their foreign counterparts, have made and may continue to make changes to the interpretation of patent laws in their respective jurisdictions. We cannot predict future changes to the interpretation of existing patent laws or whether U.S. or foreign legislative bodies will amend such laws in the future. Any changes may lead to uncertainties or increased costs and risks surrounding the outcome of third-party infringement claims brought against us and the actual or enhanced damages, including treble damages, that may be awarded in connection with any such current or future claims and could have a material adverse effect on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unable to predict the likelihood of success in defending against current or future infringement claims.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products, features, or functionalities;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products, features, or functionalities, effort and expense and may ultimately not be successful. Any of these outcomes could result in a material adverse effect on our business. Even if we were to prevail, third-party infringement lawsuits could be costly and time-consuming, divert the attention of our management and key personnel from our business operations, deter channel partners from selling or licensing our platform and products and dissuade potential customers from purchasing our platform and products, which would also materially harm our business. In addition, any public announcements of the results of any proceedings in third-party infringement lawsuits could be negatively perceived by industry or financial analysts and investors and could cause our stock price to experience volatility or decline. Further, the expense of litigation and the timing of this expense from period to period are difficult to estimate, subject to change and could adversely affect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materially and adversely harm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Some of our technology incorporates "open source" software, and we license some of our software through open source projects, which could negatively affect our ability to sell our platform and subject us to possible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aspects of our platform and products are built using open source software, and we intend to continue to use open source software in the future. From time to time, we contribute software source code to open source projects under open source licenses or release internal software projects under open source software licenses and anticipate doing so in the future. Open source software is generally freely accessible, usable, and modifiable. However, certain open source licenses may, in certain circumstances, require us to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offer our products that incorporate the open source software for no cost, make available source code for modifications or derivative works we create based upon the open source software, incorporate or use the open source software, and/or license such modifications or derivative works under the terms of the particular open source license or otherwise unfavorable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monetize our platform and products. While we try to insulate our proprietary code from the effects of such open source license provisions, we cannot guarantee that we will be successful, that all open source software is reviewed prior to use in our platform and products, that our developers have not incorporated open source software into our platform and products in potentially disruptive ways, or that they will not do so in the future.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software license. These claims could result in costly litigation and could require us to make our software source code freely available, purchase a costly license, or cease offering the implicated products unless and until we can re-engineer them to avoid infringement or violation. This re-engineering process could require significant additional research and development resources, and we may not be able to complete it successfully. We could also be subject to suits by parties claiming ownership of what we believe to be open source software. In addition to risks related to license requirements, use of certain open source software can lead to greater risks than use of third-party commercial software, as open source licensors generally do not provide warranties or controls on the origin of software and, thus, may contain security vulnerabilities or broken code. Moreover, some open source projects have known security and other vulnerabilities and architectural instabilities, or are otherwise subject to security attacks due to their wide availability, and are provided on an "as-is" basis. There is typically no support available for open source software, and we cannot ensure that the authors of such open source software will implement or push updates to address security risks or will not abandon further development and maintenance. Further, our use of any AI tools that use, incorporate, or output any open source software may heighten the foregoing risks. Any of these risks could be difficult to eliminate or manage, and if not addressed, could have a negative effect on our business,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Indemnity provisions in various agreements potentially expose us to substantial liability for intellectual property infringement and other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agreements with certain of our customers or other third parties may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the use of our platform or other acts or omissions. The term of these contractual provisions often survives termination or expiration of the applicable agreement. We have in the past been sued on the basis of alleged violation of patents, and as we continue to grow, the possibility of these and other intellectual property rights claims against us may increase. For any intellectual property rights indemnification claim against us or our customers, we may incur significant legal expenses and must pay damages, pay license fees and/or stop using technology found to be in violation of the third party's rights. Large indemnity payments could harm our business, results of operations, and financial condition. We may also have to seek a license for the disputed technology. Such license may not be available on reasonable terms, if at all, and may significantly increase our operating expenses or may require us to restrict our business activities and limit our ability to deliver certain products. As a result, we may also be required to develop alternative non-infringing technology, which could require significant effort and expense and/or cause us to alter our platform, which could negatively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customers, particularly larger enterprises, require us to indemnify or otherwise be liable to them for breach of confidentiality, violation of applicable law, or failure to implement adequate security measures with respect to their data stored, transmitted, or accessed using our platform. Our customer agreements provide limited indemnification to our customers based on third-party claims related to our violation of intellectual property rights, and some of our customer agreements offer indemnification for claims beyond that scope. The existence of such a dispute may have adverse effects on our customer relationship and reputation and we may still incur substantial liability related to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assertions by a third party, whether or not successful, with respect to such indemnification obligations could subject us to costly and time-consuming litigation, expensive remediation and licenses, divert management attention and financial resources, harm our relationship with that customer and other current and prospective customers, reduce demand for our platform and products, and harm our brand, business, results of operations, and financial condition.</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Laws and Regulations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not able to satisfy data protection, security, privacy, sovereignty, AI and other government- and industry-specific requirements or regulations, our business, results of operations and financial condition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frameworks for privacy, data protection, data processing, data sovereignty, AI and security matters are rapidly evolving and are likely to remain volatile for the foreseeable future. Our handling of personal data is subject to various laws and regulations addressing privacy, data protection, cybersecurity, information security, location of data and other regulations or requirements where we offer our platform and products around the world. We also may be or become subject to codes of conduct, employment rights, rules or other actual or asserted obligations relating to privacy, data protection, data location, cybersecurity, information security, data processing or other matters, including such obligations promulgated or otherwise adopted by industry or other self-regulatory bodies or other cybersecurity or information security or data protection-related organizations. Further, we may be bound by additional, more stringent contractual obligations and other actual and asserted obligations, such as industry standards, relating to our collection, use, disclosure, storage, and other processing of personal and other information. We have numerous customers that operate in highly-regulated industries in which our customers' data is considered particularly sensitive, such as financial services and healthcare, and contracts with customers in these industries may require that we comply with the regulatory standards governing such customers' businesses. For example, in Europe, the Digital Operational Resilience Act (“DORA”), aims to ensure the resilience of EU financial entities, including through mandatory risk management, incident reporting, resilience testing and third-party outsourcing restrictions, and imposes additional requirements on certain service providers to such entities. Changes in laws or regulations that adversely affect the use of the internet, including laws impacting net neutrality, could also impact our business. For example, the availability of our platform and products in certain jurisdictions has in the past been temporarily disrupted due to government actions requiring us to implement certain content moderation standards applicable under local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government, and various state and foreign governments, have adopted or proposed laws and regulations on the collection, use, storage, disclosure, and other processing of information relating to individuals. Such laws and regulations may, among other things, require companies to implement privacy and security policies, permit customers to access, correct and delete information stored or maintained by such companies, inform individuals of security breaches that affect their information and, in some cases, obtain individuals' consent to use information for certain purposes. For example, the California Consumer Privacy Act took effect in January 2020 and was subsequently modified by the California Privacy Rights Act, which took effect in January 2023. Numerous other states have enacted, and others are expected to enact, privacy laws that have gone into effect, or will go into effect through 2026, and a federal privacy law is being considered. In addition, in certain jurisdictions, regulatory requirements may be more stringent than those in the U.S. For example, the European Union's General Data Protection Regulation provides for substantial obligations relating to the handling, storage and other processing of personal information and fines of up to €20 million or 4% of the annual global revenue of the noncompliant company, whichever is greater. The UK’s data protection regime (the UK GDPR and Data Protection Act 2018) also imposes similar obligations relating to the processing of personal information and penalties of up to the greater of £17.5 million or 4% of global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have certain obligations under the European Union’s Data Act (the “Data Act”), which took effect on September 12, 2025, and imposes certain service interoperability and switching obligations to enable users to switch between certain cloud service providers without undue delay or cost, as well as certain requirements concerning international transfers of, and governmental access to, non-personal data located in the EU. The Data Act may require us to adjust contract terms with customers, and may impact the duration of customer relationships, which could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Europe’s Network and Information System Directive (“NIS2”) and its implementing laws regulate cybersecurity risk-management and incident response capabilities of entities operating in a number of sectors. Non-compliance with NIS2 may lead to administrative fines of up to €10 million or up to 2% of the total worldwide revenue of the preceding fiscal year. The UK’s Network and Information Systems Regulations 2018 (“UK NIS”) similarly regulate cybersecurity risk-management and incident response capabilities of entities operating in a number of sectors in the UK and non-compliance with UK NIS may lead to fines of up to £17 million. Complying with NIS2, UK NIS,DORA, or other EU or UK cybersecurity laws, directives, and regulations may cause us to incur operational costs or require us to modify our data handling practices on an ongoing basis.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emerging and existing data protection, privacy, sovereignty, and security laws and regulations creates the risk that obligations may be interpreted inconsistently between jurisdictions which may generate tension with our efforts to align our practices to comply with our privacy, data protection, data processing, and security obligations globally. Many of these laws and regulations impose substantial penalties for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there will continue to be new proposed laws, regulations and industry standards concerning privacy, data protection, cybersecurity, information security, data processing, data sovereignty, AI, and telecommunications services in jurisdictions in which we operate or may operate, and we cannot yet determine the impact such future laws, regulations and standards may have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and Iran) and covered individuals (i.e., individuals and entities located in or controlled by individuals or entities located in those jurisdictions) that may impact certain business activities such as vendor engagements, sharing of data, employment of certain individuals, and investor agreements. Violations of the rule could lead to significant civil and criminal fines and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Needing to address new and evolving laws, regulations, standards and other obligations, and changes in the interpretation of existing laws, regulations, standards and other obligations, relating to privacy, data protection, data processing or security could require us to modify our platform and products, restrict our business operations, increase our costs and impair our ability to maintain and grow our customer base and increase our revenue. New and evolving requirements may increase compliance costs, lead to increased regulatory scrutiny or liability, may require additional contractual negotiations, and may adversely impact our business, results of operations, and financial condition. In view of the foregoing, we cannot assure our compliance with all such laws, regulations, standards and obligations. Any failure or perceived failure by us to comply with applicable laws, regulations, standards or actual or asserted obligations, or any actual, perceived or purported security breach or other security incident, whether or not resulting in unauthorized access to, or acquisition, release or transfer of information relating to individuals or other data, may result in regulatory investigations, enforcement actions and other proceedings, private claims, demands, and litigation, fines and penalties or adverse publicity, and could cause our customers and prospective customers to lose trust in us, which could have an adverse effect on our reputation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from time to time be subject to obligations relating to data processing by contract, or become, or face assertions that we are, subject to self-regulatory obligations, industry standards, or other obligations relating to privacy, data protection, data processing, cybersecurity and information security. Additionally, the Federal Trade Commission and many state attorneys general have brought enforcement actions in connection with federal and state consumer protection laws for false or deceptive acts or practices in relation to the collection, use, dissemination, and security of information relating to individuals. Internationally, data localization laws may mandate that personal information collected in a foreign country be processed and stored within that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customers may face risk of enforcement actions or other proceedings by data protection authorities or other regulatory authorities, private claims, demands, and litigation, fines, penalties, and other potential liabilities, and adverse publicity including reputational damage and loss of customer confidence for actual or alleged violations of any of the foregoing obligations. Any such claims could result in substantial costs, ongoing remedial, audit and reporting obligations, and diversion of resources, and distract management and technical personnel. These potential proceedings, liabilities, and other matters could also have an overall negative effect on our business, operating results, and financial condition. The amount and scope of insurance we maintain may not cover all types of claims that may arise or otherwise compensate us for all related losses.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legislation affecting the scope of information regulated by laws, regulations or other actual or asserted obligations where we or our customers and partners have operations, especially relating to classification of IP addresses, machine identification, AI and ML, location data, and other information, may limit or inhibit our ability to operate or expand our business, including limiting strategic partnerships that may involve the sharing or other uses or processing of data. We may be required to engage in significant expenditures and efforts in our attempts to comply with current and evolving laws, regulations, and other actual and asserted obligations relating to privacy, data protection, cybersecurity, data sovereignty, AI, and information security. Notably, public perception of potential privacy, data protection, or information security concerns—whether or not valid—may harm our reputation and inhibit adoption of our platform and products and subscriptions by current and future customers. Each of these laws and regulations, and any changes to these laws and regulations, or new laws and regulations, could impose significant limitations, or require changes to our business model or practices or growth strategy, which may increase our compliance expenses and make our business more costly or less efficient to conduct.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Regulatory and legislative developments related to the use of AI and ML could adversely affect our use of such technologies in our platform and products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AI and ML throughout our business. As the regulatory framework for AI, ML, and automated decision making evolves, our business, financial condition, and results of operations may be adversely affected. The regulatory framework for AI, ML, and similar technologies and automated decision making is changing rapidly. It is possible that new laws and regulations will be adopted in the United States and in non-U.S. jurisdictions or that existing laws and regulations may be interpreted in ways that would affect the operation of our platform and products and the way in which we use AI, ML, and similar technologies. We may not be able to adequately anticipate or respond to these evolving laws and regulations, and we may need to expend additional resources to adjust our platform and products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could increase our operating expenses, which would adversely affect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the EU Artificial Intelligence Act (the "AI Act"), which establishes broad obligations for the development and use of AI-based technologies in the EU based on their potential risks and level of impact, came into force. This framework categorizes AI systems, based on the risks associated with such AI systems' intended purposes, as creating unacceptable or high risks, with all other AI systems being considered low risk. Furthermore, the AI Act includes requirements around transparency, conformity assessments and monitoring, risk assessments, human oversight, security, accuracy, general purpose AI, and foundation models, and provides for fines of up to the greater of €35 million or 7% of worldwide annual turnover for violations. There is a risk that our current or future AI-powered solutions may oblige us to comply with the applicable requirements of the AI Act, which may impose additional costs on us, increase our risk of liability, or adversely affect our business. For example, the AI Act prohibits certain uses of AI systems and places numerous obligations on providers and deployers of permitted AI systems, with heightened requirements based on AI systems that are considered high risk. This regulatory framework is expected to have a material impact on the way AI is regulated in the EU and beyond, and, together with developing regulatory guidance and judicial decisions in this area, may affect our use of AI and our ability to provide and to improve our platform and products, require additional compliance measures and changes to our operations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processes, result in increased compliance costs and potential increases in civil claims against us, and could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face risks associated with the potential growth of our business within certain heavily regulated industry verticals.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market and sell our platform and products to customers in heavily regulated industry verticals, including the financial services and healthcare industries. As a result, we face additional regulatory scrutiny, risks, and burdens from the governmental entities and agencies that regulate those industries. Entering new heavily regulated verticals and expanding in those verticals in which we are already operating will continue to require significant resources to address potential regulatory scrutiny, risks, and burdens, and there is no guarantee that such efforts will be successful or beneficial to us. Additionally, our customers have in the past faced, and may in the future face, evolving industry standards and regulations, including relating to cloud security and AI, which require us to update or enhance our platform and products to allow us to continue to serve such customers. If we are unable to successfully penetrate these verticals, maintain our market share in such verticals in which we already operate or cost-effectively comply with governmental and regulatory requirements applicable to our activities with customers in such verticals, our business, financial condition, and results of operations may be harmed.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anti-corruption, anti-bribery and similar laws, and noncompliance with such laws can subject us to criminal penalties or significant fines and harm our business and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U.S. Foreign Corrupt Practices Act of 1977, the U.K. Bribery Act 2010 and other anti-corruption, anti-bribery, anti-money laundering and similar laws in the United States and other countries in which we conduct activities. Anti-corruption and anti-bribery laws, which have been enforced aggressively and are interpreted broadly, prohibit companies and their employees and agents from promising, authorizing, making or offering improper payments or other benefits to government officials and others in the private sector. We leverage third parties, including channel partners, to sell subscriptions to our platform and conduct our business abroad. We and these third-party intermediaries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and agents, even if we do not explicitly authorize such activities. 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materially harm our reputation,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governmental export and import controls and trade and economic sanctions that could impair our ability to compete in international markets and subject us to liability if we are not in full compliance with applicable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activities are subject to various restrictions under U.S. export and similar laws and regulations, including the U.S. Department of Commerce's Export Administration Regulations and various economic and trade sanctions regulations administered by the U.S. Department of the Treasury's Office of Foreign Assets Control. The U.S. export controls and trade and economic sanctions include restrictions or prohibitions on the sale or supply of certain products and services to U.S. embargoed or sanctioned countries and governments of these countries, as well as other persons and entities. For example, the U.S. and other countries have implemented economic and other sanctions, as well as increased export controls in response to the current conflict between Russia and Ukraine. These export controls and sanctions and any additional restrictions may impact our ability to continue to operate in Russia and other affected regions. In addition, various countries regulate the import of certain technology and have enacted or could enact laws that could limit our ability to provide our platform and products or could limit our customers' ability to access or use our platform and products in those countries.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take precautions to prevent our platform and products from being provided in violation of such laws, our platform and products may have been in the past, and could in the future be, provided inadvertently in violation of such laws, despite the precautions we take. If we fail to comply with these laws and regulations, we and certain of our employees could be subject to civil or criminal penalties, including the possible loss of export privileges and fines. We may also be materially and adversely affected through penalties, reputational harm, loss of access to certain markets, or otherwise. Obtaining the necessary authorizations, including any required licenses, for a particular transaction may be time-consuming, is not guaranteed and may result in the delay or loss of sales opportunities. In addition, changes in our platform, or changes in export, sanctions and import laws and regulations, could delay the introduction and sale of subscriptions to our platform in international markets, prevent users in certain countries from accessing our platform and products or, in some cases, prevent the provision of our platform and products to certain countries, governments, persons or entities altogether. Any change in export or import regulations, economic sanctions or related laws, shift in the enforcement or scope of existing regulations or change in the countries, governments, persons or technologies targeted by such regulations could decrease our ability to sell subscriptions to our platform or provide software to existing customers or potential new customers with international operations. Any decrease in our ability to sell subscriptions to our platform or provide software could materially and adversely affect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the tax laws of various jurisdictions, and we could be obligated to pay additional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federal, state, and local income taxes in the United States and numerous foreign jurisdictions. Determining our provision for income taxes requires management's judgment, and the ultimate tax outcome may be uncertain. Our corporate structure and associated transfer pricing policies are designed to support our business in international markets, and consider the functions, risks and assets of the various entities involved in the intercompany transactions. In addition, our provision for income taxes is subject to volatility and could be adversely affected by many factors, including, among other things, changes to our corporate structure and associated transfer pricing policies, changes in the timing or amounts of earnings in jurisdictions with differing statutory tax rates, changes in the valuation of deferred tax assets and liabilities, changes in tax rates, new or revised tax laws or interpretations of existing tax laws and policies, and our ability to operate our business in a manner consistent with our corporate structure and intercompany arrangements. For example, on July 4, 2025, the United States enacted federal tax legislation commonly referred to as the One Big Beautiful Bill Act (or “OBBBA”) and made a number of changes to United States federal income tax laws. Among other things, the OBBBA restored deductions for U.S. research and development expenditures (while continuing to require taxpayers to capitalize and amortize foreign research and development expenditures), changed the calculation and deductibility of global intangible low-taxed income (renamed Net CFC Tested Income) and foreign derived intangibles income (renamed Foreign-Derived Deduction Eligible Income) for taxable years beginning after December 31, 2025, and changed the calculation of deductible business interest expense to include depreciation and amortization. The taxing authorities of the jurisdictions in which we operate or regularly target may challenge our methodologies for pricing intercompany transactions pursuant to our intercompany arrangements, disagree with our determinations as to the income and expenses attributable to specific jurisdictions. If such a challenge or disagreement were to occur, and our position was not sustained, or if there are changes in tax laws or the way existing tax laws are interpreted or applied, we could be required to pay additional taxes, interest and penalties. While we regularly assess the adequacy of our provision for income taxes, there can be no assurance that the outcomes of such challenges or disagreements, or the changes in tax laws or their interpretation and application, will not have a material impact on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countries are beginning to implement legislation and other guidance to align their international tax rules with the Organisation for Economic Cooperation and Development's ("OECD") Base Erosion and Profit Shifting recommendations and action plan that aim to standardize and modernize global corporate tax policy, including changes to cross-border tax, transfer pricing documentation rules, and nexus-based tax incentive practices. While the OECD continues discussions surrounding fundamental changes in the allocation of profits among tax jurisdictions in which companies do business, as well as the implementation of a global minimum tax (namely the "Pillar One" and "Pillar Two" proposals), on January 5, 2026, the OECD released administrative guidance that generally excludes U.S. multinational companies from certain minimum tax enforcement measures. We continue to evaluate the impact of these tax developments and those under other OECD and non-U.S. rules as new guidance and regulations are published and become applicable. Changes to these and other areas in relation to international tax reform, including future actions taken by foreign governments could increase uncertainty and may adversely impact our provision for income taxes, net income and cash flows and our operating results in future years.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31, 2026, we had net operating loss carryforwards for U.S. federal income tax purposes and state income tax purposes of approximately $1.5 billion and $695.9 million, respectively, available to offset future taxable income. Approximately $1.3 billion of our federal net operating loss carryforwards may be carried forward indefinitely, but the deductibility of such carryforwards generally is limited to 80% of our current year taxable income. Beginning in 2026, $603.6 million of state net operating losses will begin to expire at different times. The remaining $92.3 million of state net operating losses will carry forward indefinitely.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31, 2026, we also had U.S. federal and California research and development and other tax credit carryforwards of $53.6 million and $36.1 million, respectively. If not utilized, the federal research and development tax credit carryforwards will begin expiring at different times beginning in 2032. Our California research and development tax credits may be carried forward indefinitely. Realization of these net operating loss and research and development tax credit carryforwards depends on future income, and there is a risk that a portion of our existing carryforwards could expire unused and be unavailable to offset future income tax liabilities, which could materially and adversely affect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under Section 382 of the Internal Revenue Code of 1986, as amended (the "Code"), if a corporation undergoes an "ownership change," generally defined as a greater than 50% change (by value) in its equity ownership by "5% shareholders" over a three-year period, the corporation's ability to use its pre-change net operating loss carryforwards and other pre-change tax attributes, such as research and development tax credits, to offset its post-change income may be limited. As a result, if we experience one or more ownership changes in the future as a result of subsequent shifts in our stock ownership, our ability to use our pre-change net operating loss carryforwards and other pre-change tax attributes to offset U.S. federal taxable liability may be subject to limitations, which could potentially result in increased future tax liability to us. Furthermore, our state carryforwards may be subject to similar and additional limitations.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collect sales and use, value added or similar taxes in all jurisdictions in which we have sales because we have been advised that such taxes are not applicable to our platform and products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materially and adversely affect our operating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Indebtedness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Servicing our substantial indebtedness may require a significant amount of cash, and we may not have sufficient cash flow from our business or the ability to raise funds necessary to satisfy our obligations under our indebtedness. Our debt could also expose us to other risks that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22, 2022, we issued $401.0 million in aggregate principal amount of our 2028 Notes, which, effective upon the completion of the IPO, mature on December 15, 2028. On September 30, 2024, we issued $75.0 million in aggregate principal amount of our 2029 Notes, which mature on August 1, 2029. We may also incur additional indebtedness to meet our future financing needs. We may be required to use a substantial portion of our cash flows from operations to pay interest, principal or other required payments on our indebtedness. The delivery of shares of our Class B common stock upon conversion of the Convertible Notes could result in significant dilution to our existing stockholders and further limit or preclude their ability to influence corporate matters. Based upon the outstanding aggregate principal amount and accrued and unpaid interest on such Convertible Notes as of July 31, 2026 and our initial public offering price of $19.00 per share, the Convertible Notes are convertible into 22,536,463 shares of Class B common stock, which would be approximately 12.6% of the voting power of our capital stock as of such date. Together with our executive officers, directors, and holders of 5% or more of our common stock, this concentrated control could significantly influence corporate matters,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Class A common stockholders may feel are in their best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as one group of our stockholders. For a description of the terms of our Convertible Notes, as well as an illustrative calculation of the number of shares of Class B common stock issuable upon conversion of the Convertible Notes as of July 31, 2026 and the maturity date of the Convertible Notes, please see the section titled "Management's Discussion and Analysis of Financial Condition and Results of Operations—Liquidity and Capital Resources—Convertible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make scheduled payments in respect of, to pay interest on, or to refinance our indebtedness, including the Convertible Notes, depends on our future performance, which is subject to economic, financial, competitive and other factors beyond our control. Such payments will reduce the funds available to us for working capital, capital expenditures and other corporate purposes and may limit our ability to obtain additional financing for working capital, capital expenditures, expansion plans and other investments. For example, if we elect in the future to make interest payments in cash rather than payment-in-kind on our Convertible Notes, it may reduce our available cash and adversely impact certain of our financial metrics, including our cash flows from operations, free cash flow, and free cash flow margin. Our business may not be able to generate cash flows from operations in the future that are sufficient to service our debt and make necessary capital expenditures. If we are unable to generate such cash flows, we may be required to adopt one or more alternatives, such as selling assets or obtaining additional debt financing or equity capital on terms that may be onerous or highly dilutive. Our ability to refinance our indebtedness will depend on the capital markets and our financial conditions at such time. We may not be able to engage in any of these activities or engage in these activities on desirable terms, which could result in a default on our debt obligations, which would adversely affect our financial condition. Further, the terms of our Convertible Notes include a number of covenants that limit our ability and our subsidiaries' ability to, among other things, incur additional indebtedness. The terms of our Convertible Notes may restrict our current and future operations and could adversely affect our ability to finance our future operations or capital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indebtedness, combined with our other financial obligations and contractual commitments, could have other important consequences. For example, they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us more vulnerable to adverse changes in general U.S. and worldwide economic, industry, and competitive conditions and adverse changes in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flexibility in planning for, or reacting to, changes in our business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place us at a disadvantage compared to our competitors who have less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ability to borrow additional amounts to fund acquisitions, for working capital and for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us to risks associated with variable interest rates to the extent applicable to such indebtedness;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an acquisition of our company less attractive or more difficult.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factors could harm our business, results of operations, and financial condition. In addition, if we incur additional indebtedness, the risks related to our business and our ability to service or repay our indebtedness would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 failure by us to comply with the covenants or payment requirements specified in our Convertible Notes could result in an event of default under the Convertible Notes, which would give the holders the right to default interest and a right to accelerate payment of the Convertible Notes. If the indebtedness under our Convertible Notes were to be accelerated, we may not have sufficient cash or be able to borrow sufficient funds to refinance the indebtedness or sell sufficient assets to repay the indebtedness, which could immediately adversely affect our business, cash flows, results of operations, and financial condition. Even if we were able to obtain new financing, it may not be on commercially reasonable terms or on terms that are acceptable to us. As of July 31, 2026 and January 31, 2026, the principal and accrued interest of the outstanding Convertible Notes was $538.3 million and $528.8 million in the aggregate,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have the ability to raise the funds necessary to repurchase or redeem the Convertible Notes, or to repay the principal and accrued interest of the Convertible Notes in cash at their maturity, and our future debt may contain limitations on our ability to pay cash upon conversion or repurchase of the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Holders of the Convertible Notes will have the right to require us to repurchase the Convertible Notes upon the occurrence of certain fundamental changes that may occur before the maturity date, including a change of control. Upon the holders' exercise of such right, we would be required to repurchase the Convertible Notes for a price range, which shall be in an amount equal to the excess of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140% of the principal amount of such Convertible Notes on or before the second anniversary of the issue date of the Convertible Notes, (ii) 155% of the principal amount of such Convertible Notes after the second anniversary but on or before the third anniversary of the issue date of the Convertible Notes, or (iii) 170% of the principal amount of such Convertible Notes after the third anniversary of the issue date of the Convertible Notes. We also have the right to redeem the Convertible Notes commencing one year after the date of the IPO if the price of our Class A common stock has increased to over 200% of the then-applicable conversion price for each of at least twenty (20) trading days (whether or not consecutive) during the thirty (30) consecutive trading days prior to providing notice of such redemption. In addition, pursuant to the terms of the Convertible Notes, we will be required to repay the Convertible Notes in cash at their maturity unless earlier converted, redeemed, or repurchased. Moreover, pursuant to the terms of the Convertible Notes, we may, at our option, elect to settle conversions of the Convertible Notes in cash in lieu of issuing shares of our Class B common stock, or a combination of cash and shares of our Class B common stock, with cash in lieu of any fractional shares. However, we may not have enough available cash on hand or be able to obtain financing at the time we are required to make repurchases of any Convertible Notes surrendered therefor or pay cash with respect to Convertible Notes being converted or at their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ability to repurchase the Convertible Notes or to pay cash upon conversion (if we elect to settle such conversions in cash in lieu of issuing shares of our Class B common stock) or at their maturity may be limited by law, regulatory authority, or agreements governing our future indebtedness. Our failure to repurchase Convertible Notes at a time when the repurchase is required by the Convertible Notes or to pay cash upon conversions of the Convertible Notes or at their maturity as required by the applicable indenture governing the Convertible Notes would constitute a default thereunder. A default under the applicable indenture could also lead to a default under agreements governing our future indebtedness. If the payment of the related indebtedness were to be accelerated after any applicable notice or grace periods, we may not have sufficient funds to repay such indebtedness and repurchase the Convertible Notes or pay cash with respect to the conversion of the Convertible Notes (if we elect, at our option, to settle such conversions in cash in lieu of issuing shares of our Class B common stock) or at maturity of the Convertible Notes.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Ownership of Our Class A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Class A common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Class A common stock may fluctuate substantially in response to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or fluctuations in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projections we may provide to the public, any changes in these projections or our failure to meet these projections;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new products or new or terminated significant contracts, commercial relationships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industry or financial analyst or investor reaction to our press releases, other public announcements and filings with the SEC;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rumors and market speculation involving us or other companies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overall stock market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volume fluctuations in the trading of our Class A common stock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performance and stock market valuations of other technology companies generally, or those in our industry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sales of shares of our Class A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issuances of shares of our common stock, whether in connection with an acquisition or upon conversion of some or all of our outstanding Convertible Notes;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industry or financial analysts to maintain coverage of us, changes in financial estimates by any analysts who follow our company, or our failure to meet these estimates or the expectations of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developments in our business or our competitors' businesses or the competitive landscape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involving us, our industry or both, or investigations by regulators into our operations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our intellectual property rights or our platform and products, or third-party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announced or completed acquisitions of businesses or technologies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perceived privacy, data protection, or security incidents or breaches;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our business and our responses thereto;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major changes in our management or our board of directors, particularly with respect to Mr. Beri;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conditions and slow or negative growth of our markets;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war, incidents of terrorism, global pandemics or responses to these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market for technology stocks or the stock market in general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including the advent of disruptive new technologies such as AI,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requirements of being a public company may strain our resources, increase our costs, and distract management, and we may be unable to comply with these requirements in a timely or cost-effective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subject to the reporting requirements of the Securities Exchange Act of 1934, as amended (the "Exchange Act"), the Sarbanes-Oxley Act of 2002 (the "Sarbanes-Oxley Act"), the Dodd-Frank Wall Street Reform and Consumer Protection Act of 2010, the listing requirements of the Nasdaq Global Select Market ("Nasdaq") and other applicable securities rules and regulations. Compliance with these statutes, regulations, and requirements occupy, and we anticipate will continue to occupy, a significant amount of time of our board of directors and management and has significantly increased, and we anticipate will continue to significantly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being a public company subject to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qualified individuals to serve on our board of directors or as executive officers. We are currently evaluating these rules, and we cannot predict or estimate the amount of additional costs we may incur or the timing of such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disclosure of information in our filings with the SEC, our business and financial condition have become more visible, which we believe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achieve and maintain an effective system of disclosure controls and internal control over financial reporting could adversely affect our financial position and lower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subject to the reporting requirements of the Exchange Act, the Sarbanes-Oxley Act and the applicable listing standards of Nasdaq. The requirements of these rules and regulations have, and we anticipate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resources and personnel may in the future be insufficient to avoid accounting errors, and there can be no assurance that we will not have material weaknesses in the future. Any failure to develop or maintain effective controls or any difficulties encountered implementing required new or improved controls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 This assessment will need to include disclosure of any material weaknesses identified by our management in our internal control over financial reporting. We will also be required to disclose changes made in our internal control and procedures on a quarterly basis. Our independent registered public accounting firm will not be required to report on the effectiveness of our internal control over financial reporting pursuant to Section 404 of the Sarbanes-Oxley Act until our second annual report required to be filed with the SEC. At such time, our independent registered public accounting firm may issue a report that is adverse in the event it is not satisfied with the level at which our controls are documented, designed, or operating.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maintain effective disclosure controls and internal control over financial reporting could have an adverse effect on our business, results of operations and financial condition, and could cause a decline in the price of our Class A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management team has limited experience managing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activities as a public company that are subject to significant regulatory oversight and reporting obligations under the federal securities laws and the continuous scrutiny of securities analysts and investors. These new obligations and constituents will continue to require significant attention from our senior management and could divert their attention away from the day-to-day management of our business, which could harm our business, financial condition, and results of operations.</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could be impacted as a result of actions by activist shareholders or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from time to time, to legal and business challenges in the operation of our company due to actions instituted by activist shareholders or others. Responding to such actions could be costly and time-consuming, may not align with our business strategies and could divert the attention of our board of directors and senior management from the pursuit of our business strategies. Perceived uncertainties as to our future direction as a result of shareholder activism may lead to the perception of a change in the direction of the business or other instability and may affect our relationships with our end-customers, prospective and current employees and others.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multi-class structure of our common stock has the effect of concentrating voting control with the holders of our outstanding Class B common stock. This ownership will limit or preclude your ability to influence corporate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Class B common stock has 20 votes per share, our Class A common stock has one vote per share, and our Class C common stock has no voting rights, except as otherwise required by law. As of July 31, 2026, holders of our outstanding Class B common stock held in the aggregate 91.5% of the voting power of our capital stock and will be able to control all matters submitted to our stockholders for approval. Additionally, our executive officers, directors, and holders of 5% or more of our common stock held, in the aggregate, approximately 75.7% of the voting power of our outstanding capital stock as of July 31, 2026. Our Chief Executive Officer and Chairman entered into a voting agreement with one of our non-executive co-founders for 3.6% of the voting power, resulting in an aggregate 19.2% of the voting power of our outstanding capital stock as of July 31, 2026. This concentrated control will limit or preclude the ability of holders of Class A common stock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Class A common stockholders may feel are in their best interest as one group of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transfers by holders of shares of Class B common stock will generally result in those shares converting to Class A common stock, except for certain transfers permitted by our amended and restated certificate of incorporation, including transfers for tax and estate planning purposes so long as the transferring holder of Class B common stock continues to hold exclusive voting and dispositive power with respect to the shares transferred or shares voting and dispositive power with respect to such shares only with certain family members or professional service providers. Further, all shares of Class B common stock will be converted into shares of Class A common stock following the earliest to occur of certain events as described in our amended and restated certificate of incorporation.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had issued Class A common stock rather than Class C common stock in such future transactions.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predict the effect our multi-class structure may have on the trading price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whether our multi-class structure will result in a lower or more volatile trading price of our Class A common stock, adverse publicity, or other adverse consequences. For example, certain index providers have announced restrictions affecting companies with multiple-class share structures in certain of their indices. In July 2017, FTSE Russell announced that it would require new constituents of its indices to have greater than 5% of a company's voting rights in the hands of public stockholders. Under this policy, the multi-class structure of our common stock could make us ineligible for inclusion in certain indices and, as a result, mutual funds, exchange-traded funds, and other investment vehicles that attempt to passively track those indices would not invest in our Class A common stock. Because of the multi-class structure of our common stock, we may be excluded from certain indices, and other stock indices may take similar actions. Given the sustained flow of investment funds into passive strategies that seek to track certain indices, exclusion from certain stock indices could preclude investment by many of these funds and could make our Class A common stock less attractive to other investors. As a result, the trading price of our Class A common stock could be adversely affected.</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industry or financial analysts do not publish research or issue inaccurate or unfavorable research about us, our business or our market, or if they change their recommendation regarding our Class A common stock adversely,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Class A common stock is influenced by the research and reports that industry or financial analysts publish about us, our business, our market, or our competitors. We do not control these analysts or the content and opinions included in their reports. If any of the analysts who cover us issues an inaccurate or unfavorable opinion regarding our business or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Class A common stock in the public market, particularly sales by our directors, executive officers and significant stockholders, or the perception that these sales could occur, could adversely affect the market price of our Class A common stock and may make it more difficult for you to sell your Class A common stock at a time and price that you deem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 A common stock issued in the IPO are freely tradable without restriction under the Securities Act of 1933, as amended (the "Securities Act"), except for any shares of Class A common stock that may be held or acquired by our directors, executive officers and other affiliates (as that term is defined in the Securities Act), which will be restricted securities under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IPO, we and all of our directors and officers and the holders of substantially all of our outstanding Class A common stock and securities convertible into or exercisable or exchangeable (directly or indirectly) for our Class A common stock have entered into lock-up agreements with the underwriters. On March 13, 2026, the lock-up period expired and additional shares of our Class A common stock became available for sale in the public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have in the past and may in the future use a sell-to-cover settlement method to satisfy tax withholding and remittance obligations associated with the vesting and settlement of RSUs held by our employees, under which shares of our Class A common stock are sold into the market on behalf of our employees to cover the associated tax withholding obligations. Such sales would cause dilution to our stockholders and could increase the volatility of the trading price of our Class A common stock. Because the purpose of the sell-to-cover transactions is to generate proceeds sufficient to satisfy tax withholding obligations, the exact number of shares sold depends on the sale prices of the Class A common stock in such transactions. In addition, the exact number of shares of our Class A common stock eligible for sale in the open market in connection with such tax withholding obligations may differ based on our stockholders' personal tax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registered shares of Class A common stock that we may issue under our equity compensation plans. Subject to the satisfaction of applicable exercise or vesting periods, the shares issued upon exercise of outstanding stock options or upon settlement of outstanding RSU awards will be available for immediate resale in the United States in the open market as a result of being issued under such registration statement or pursuant to other securities law exemptions.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additional capital, and we cannot be certain that additional financing will be available on favorable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we have financed our operations primarily through the sale of our debt, equity-linked and equity securities as well as payments received from customers. We expect that the IPO proceeds, together with our existing cash, cash equivalents, short-term investments and anticipated payments from customers will be sufficient to meet our anticipated cash needs for working capital, capital expenditures and Convertible Notes repayment requirements for at least the next 12 months. We may need to raise additional funds to fund our operating expenses, make capital purchases, acquire or invest in business or technology, and we may not be able to obtain those funds on favorable terms, or at all. If we raise additional equity or equity-linked financing, our stockholders may experience significant dilution of their ownership interests and the per share value of our Class A common stock could decline. Furthermore, if we engage in additional debt financing, the holders of our debt would have priority over the holders of our Class A common stock, and we may be required to accept terms that restrict our ability to incur additional indebtedness or our ability to pay any dividends on our Class A common stock, though we do not intend to pay dividends in the foreseeable future. We may also be required to take other actions, any of which could harm our business and operating results. If we need to access the capital markets, there can be no assurance that financing may be available on attractive terms, if at all. If we are unable to obtain adequate financing on terms satisfactory to us, when we require it, our ability to continue to support our business growth and to respond to business challenges could be significantly limited, and our business, operating results, financial condition and prospects could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and we cannot be certain if the reduced disclosure requirements applicable to emerging growth companies will make our Class A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and have the option to use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will remain an emerging growth company until the earlier of (i) the last day of the fiscal year (A) following the fifth anniversary of the IPO, (B) in which we have total annual revenue of at least $1.235 billion, or (C) in which we are deemed to be a large accelerated filer, with at least $700 million of equity securities held by non-affiliates as of the prior June 30th, and (ii) the date on which we have issued more than $1 billion in non-convertible debt during the prior three-year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Further, we may take advantage of some of the other reduced regulatory and reporting requirements that will be available to us so long as we qualify as an "emerging growth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other things, this means that our independent registered public accounting firm will not be required to provide an attestation report on the effectiveness of our internal controls over financial reporting so long as we qualify as an emerging growth company, which may increase the risk that weaknesses or deficiencies in our internal controls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As a result, investor confidence in our company and the market price of our Class A common stock may be adversely affected. Further, we cannot predict if investors will find our Class A common stock less attractive because we will rely on these exemptions. If some investors find our Class A common stock less attractive as a result, there may be a less active trading market for our Class A common stock and our stock price may be more volatile.</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intend to pay dividends in the foreseeable future. As a result, your ability to achieve a return on your investment will depend on appreciation in the price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We currently intend to retain all available funds and any future earnings for use in the operation of our business and do not anticipate paying any dividends on our Class A common stock in the foreseeable future.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Delaware law and provisions in our amended and restated certificate of incorporation and amended and restated bylaws could make a merger, tender offer or proxy contest difficult, thereby depressing the market price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(the "DGCL") may discourage, delay, or prevent a change in control by prohibiting us from engaging in certain business combinations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a number of provisions that may make the acquisition of our company more difficult. Such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multi-class common stock structure, which provides our pre-IPO stockholders, including certain of our executive officers, employees, directors, and their affiliates, with significant influence over matters requiring stockholder approval, including the election of directors and significant corporate transactions, such as a merger or other sale of our company or its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approval of the holders of at least two-thirds of the outstanding shares of our Class B common stock for certain corporate actions including (i) any amendment to the amended and restated certificate of incorporation that alters the voting, conversion or other rights, powers, preferences, or restrictions of the Class B common stock, (ii) reclassification of Class A common stock or Class C common stock into shares having rights as to dividends or liquidation that are senior to the Class B common stock, (iii) an increase to the voting power of the Class A common stock or Class C common stock, and (iv) issuance of shares of any class or series of capital stock (other than Class B common stock) having more than one vote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authorizing only our board of directors to fill vacant directorships, and the number of directors constituting our board of directors will be permitted to be set only by a resolution adopted by a majority of the authorized number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classified board of directors, consisting of three classes of directors with staggered three-year terms who are only able to be removed from office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authorizing stockholder action only at an annual or special meeting of stockholders, and providing that a special meeting of our stockholders may only be called by a majority of the authorized number of directors, the chair of our board of directors, our chief executive officer, or our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advance notice procedures for stockholders to nominate candidates for election as directors or to bring matters before an annual meeting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providing for cumulative voting;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authorizing undesignated preferred stock, the terms of which may be established and shares of which may be issued without further action by our stockholders, except that the approval of holders of two-thirds of the outstanding shares of our Class B common stock voting as a separate series will be required to authorize, or issue, any shares (other than Class B common stock) having the right to more than one vote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that certain litigation against us can only be brought in Delaware;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the approval of the holders of at least two-thirds of the voting power of our then-outstanding capital stock to amend the foregoing provisions of our certificate of incorporation or amend any provision of our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provisions, alone or together, could discourage, delay or prevent a transaction involving a change in control of our company. These provisions could also discourage proxy contests and make it more difficult for stockholders to elect directors of their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bylaws generally provide that the Court of Chancery of the State of Delaware (or another state court in Delaware) and the federal district courts of the United States are the exclusive forums for substantially all disputes between us and our stockholders, which could limit our stockholders' ability to obtain a favorable judicial forum for disputes with us or our directors, officers, stockholders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provide that, unless we consent in writing to the selection of an alternative forum, the Court of Chancery of the State of Delaware (or, if the Court of Chancery of the State of Delaware does not have jurisdiction, another state court in Delaware or the federal district court for the District of Delaware) is, to the fullest extent permitted by law, the sole and exclusive forum for the following types of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or proceeding brought on behalf of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of breach of a fiduciary duty owed by any of our directors, officers, stockholders, or other employees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arising pursuant to any provision of the DGCL or our amended and restated certificate of incorporation or our amended and restated bylaws (as either may be amended from time to time);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governed by the internal affairs doctrine.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Nothing in our amended and restated bylaws precludes stockholders that assert claims under the Exchange Act from bringing such claims in federal court, subject to applicable law. Our amended and restated bylaws further provide that, unless we consent in writing to the selection of an alternative forum, the federal district courts of the United States are the exclusive forum for resolving any complaint asserting a cause of action arising under the Securities Act or the rules and regulations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believe these provisions benefit us by providing increased consistency in the application of Delaware law for the specified types of actions and proceedings, these exclusive-forum provisions may make it more expensive for stockholders to bring a claim than if the stockholders were permitted to select another jurisdiction and may limit a stockholder's ability to bring a claim in a judicial forum that it finds favorable for disputes with us or our directors, officers, stockholders, or other employees, which may discourage lawsuits against us and our directors, officers, stockholders, and other employees. Our amended and restated bylaws also limit the ability of a person to bring a claim in a judicial forum that it finds favorable for disputes arising under the Securities Act against any person in connection with any offering of our securities, including any auditor, underwriter, expert, control person, or other defendant. Any person or entity purchasing, holding, or otherwise acquiring any interest in any of our securities shall be deemed to have notice of and consented to these provisions. The enforceability of similar choice of forum provisions in other companies' governing documents has been challenged in legal proceedings, and it is possible that a court could find these types of provisions to be inapplicable or unenforceable. We also note that stockholders cannot waive compliance (or consent to noncompliance) with the federal securities laws and the rules and regulations thereunder. If a court were to find either exclusive-forum provision in our amended and restated bylaws to be inapplicable or unenforceable in an action, we may incur additional costs associated with resolving the dispute in other jurisdictions, which could significantly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issue preferred stock whose terms could adversely affect the voting power or value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authorizes us to issue, without the approval of our stockholders (except that the approval of holders of two-thirds of the outstanding shares of our Class B common stock voting as a separate series will be required to authorize, or issue, any shares (other than Class B common stock) having the right to more than one vote per share),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our Class A common stock.</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involved in litigation that may materially and adversely affect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various legal proceedings relating to matters incidental to the ordinary course of our business, including patent, commercial, product liability, employment, class action, whistleblower and other litigation and claims, and governmental and other regulatory investigations and proceedings. For example, we have in the past been sued on the basis of alleged violation of patents, and as we continue to grow, the possibility of these and other intellectual property rights claims against us may increase. Such matters can be time-consuming, divert management's attention and resources, cause us to incur significant expenses or liability and/or require us to change our business practices. In addition, the expense of litigation and the timing of this expense from period-to-period are difficult to estimate, subject to change and could adversely affect our results of operations.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results of operations, financial condition, and future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subject to the risks of earthquakes, fire, floods and other natural catastrophic events, and to interruption by man-made problems such as power disruptions, computer viruses, acts of war, international conflicts, terrorism, and security breaches or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operations have been, and could in the future be, subject to disruption by natural disasters such as earthquakes, fire, floods or public health emergencies such as an outbreak of a pandemic or epidemic disease, as well as man-made problems such as acts of war, international conflicts such as the current conflicts between Russia and Ukraine and in the Middle East, terrorism and other geopolitical unrest, or fear of such events. Such events could also cause disruptions in the businesses of our partners, customers or suppliers, national economies, or the world economy as a whole. In addition, computer malware, viruses and computer hacking, fraudulent use attempts and phishing attacks have become more prevalent in our industry, and may become more frequent and effective through the use of AI,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security breaches and incidents and loss of critical data. Our insurance may not be sufficient to cover losses or additional expense that we may sustain in the event of a natural disaster or man-made problem. Though it is difficult to determine what, if any, harm may directly result from any specific interruption or attack, any failure to maintain performance, reliability, security and availability of our platform to the satisfaction of our users may materially harm our reputation and our ability to retain existing customers and attract new customers. </w:t>
      </w:r>
    </w:p>
    <w:p>
      <w:pPr>
        <w:pStyle w:val="TextBody"/>
        <w:bidi w:val="0"/>
        <w:spacing w:before="360" w:after="283"/>
        <w:jc w:val="left"/>
        <w:rPr>
          <w:rFonts w:ascii="Times New Roman" w:hAnsi="Times New Roman"/>
          <w:b/>
          <w:color w:val="000000"/>
          <w:sz w:val="20"/>
        </w:rPr>
      </w:pPr>
      <w:bookmarkStart w:id="17" w:name="item_2_unregistered_sales_of_equity"/>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Securities Trading Plans of Directors and Executive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officers, as defined in Rule 16a-1(f), or directors adopted or terminated a “Rule 10b5-1 trading arrangement” or a “non-Rule 10b5-1 trading arrangement,” as defined in Regulation S-K Item 408, during the last fiscal quarter.</w:t>
      </w:r>
    </w:p>
    <w:p>
      <w:pPr>
        <w:pStyle w:val="TextBody"/>
        <w:bidi w:val="0"/>
        <w:spacing w:before="36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below are filed as part of this Quarterly Report on Form 10-Q, or are incorporated herein by reference, in each case as indicated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7423"/>
        <w:gridCol w:w="534"/>
        <w:gridCol w:w="749"/>
        <w:gridCol w:w="733"/>
      </w:tblGrid>
      <w:tr>
        <w:trPr/>
        <w:tc>
          <w:tcPr>
            <w:tcW w:w="766" w:type="dxa"/>
            <w:tcBorders/>
            <w:vAlign w:val="center"/>
          </w:tcPr>
          <w:p>
            <w:pPr>
              <w:pStyle w:val="TableContents"/>
              <w:bidi w:val="0"/>
              <w:spacing w:before="0" w:after="283"/>
              <w:jc w:val="left"/>
              <w:rPr>
                <w:sz w:val="4"/>
                <w:szCs w:val="4"/>
              </w:rPr>
            </w:pPr>
            <w:r>
              <w:rPr>
                <w:sz w:val="4"/>
                <w:szCs w:val="4"/>
              </w:rPr>
            </w:r>
          </w:p>
        </w:tc>
        <w:tc>
          <w:tcPr>
            <w:tcW w:w="742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6" w:type="dxa"/>
            <w:gridSpan w:val="3"/>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by Reference</w:t>
            </w:r>
          </w:p>
        </w:tc>
      </w:tr>
      <w:tr>
        <w:trPr/>
        <w:tc>
          <w:tcPr>
            <w:tcW w:w="7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742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c>
          <w:tcPr>
            <w:tcW w:w="53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7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c>
          <w:tcPr>
            <w:tcW w:w="73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31.1*</w:t>
            </w:r>
          </w:p>
        </w:tc>
        <w:tc>
          <w:tcPr>
            <w:tcW w:w="742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tsk-ex31_1.htm">
              <w:r>
                <w:rPr>
                  <w:rStyle w:val="InternetLink"/>
                  <w:rFonts w:ascii="Times New Roman" w:hAnsi="Times New Roman"/>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w:t>
            </w:r>
          </w:p>
        </w:tc>
        <w:tc>
          <w:tcPr>
            <w:tcW w:w="742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tsk-ex31_2.htm">
              <w:r>
                <w:rPr>
                  <w:rStyle w:val="InternetLink"/>
                  <w:rFonts w:ascii="Times New Roman" w:hAnsi="Times New Roman"/>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32.1*</w:t>
            </w:r>
          </w:p>
        </w:tc>
        <w:tc>
          <w:tcPr>
            <w:tcW w:w="742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tsk-ex32_1.htm">
              <w:r>
                <w:rPr>
                  <w:rStyle w:val="InternetLink"/>
                  <w:rFonts w:ascii="Times New Roman" w:hAnsi="Times New Roman"/>
                  <w:color w:val="0000FF"/>
                  <w:sz w:val="16"/>
                  <w:u w:val="single"/>
                </w:rPr>
                <w:t>Certification of Principal Executive Officer Pursuant to 18 U.S.C. Section 1350, as Adopted Pursuant to Section 906 of the Sarbanes-Oxley Act of 2002.</w:t>
              </w:r>
            </w:hyperlink>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w:t>
            </w:r>
          </w:p>
        </w:tc>
        <w:tc>
          <w:tcPr>
            <w:tcW w:w="742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tsk-ex32_2.htm">
              <w:r>
                <w:rPr>
                  <w:rStyle w:val="InternetLink"/>
                  <w:rFonts w:ascii="Times New Roman" w:hAnsi="Times New Roman"/>
                  <w:color w:val="0000FF"/>
                  <w:sz w:val="16"/>
                  <w:u w:val="single"/>
                </w:rPr>
                <w:t>Certification of Principal Financial Officer Pursuant to 18 U.S.C. Section 1350, as Adopted Pursuant to Section 906 of the Sarbanes-Oxley Act of 2002.</w:t>
              </w:r>
            </w:hyperlink>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101.INS</w:t>
            </w:r>
          </w:p>
        </w:tc>
        <w:tc>
          <w:tcPr>
            <w:tcW w:w="7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 – the instance document does not appear in the Interactive Data File because XBRL tags are embedded within the Inline XBRL document.</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101.SCH</w:t>
            </w:r>
          </w:p>
        </w:tc>
        <w:tc>
          <w:tcPr>
            <w:tcW w:w="7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With Embedded Linkbase Documents</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w:t>
            </w:r>
          </w:p>
        </w:tc>
        <w:tc>
          <w:tcPr>
            <w:tcW w:w="7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Interactive Data File (embedded within the Inline XBRL document)</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739" w:type="dxa"/>
        <w:jc w:val="left"/>
        <w:tblInd w:w="0" w:type="dxa"/>
        <w:tblLayout w:type="fixed"/>
        <w:tblCellMar>
          <w:top w:w="28" w:type="dxa"/>
          <w:left w:w="28" w:type="dxa"/>
          <w:bottom w:w="28" w:type="dxa"/>
          <w:right w:w="28" w:type="dxa"/>
        </w:tblCellMar>
      </w:tblPr>
      <w:tblGrid>
        <w:gridCol w:w="2116"/>
        <w:gridCol w:w="146"/>
        <w:gridCol w:w="406"/>
        <w:gridCol w:w="207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Netskope, Inc.</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Sanjay Beri</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Sanjay Beri</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Drew Del Matto</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Drew Del Matto</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ntsk-ex31_1.htm"/>
      <w:bookmarkStart w:id="24" w:name="ksntskex31_1"/>
      <w:bookmarkEnd w:id="23"/>
      <w:bookmarkEnd w:id="24"/>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CERTIFICATION OF PRINCIPAL EXECUTIVE OFFICER</w:t>
      </w:r>
    </w:p>
    <w:p>
      <w:pPr>
        <w:pStyle w:val="TextBody"/>
        <w:bidi w:val="0"/>
        <w:jc w:val="center"/>
        <w:rPr>
          <w:rFonts w:ascii="Times New Roman" w:hAnsi="Times New Roman"/>
          <w:b/>
          <w:color w:val="000000"/>
          <w:sz w:val="22"/>
        </w:rPr>
      </w:pPr>
      <w:r>
        <w:rPr>
          <w:rFonts w:ascii="Times New Roman" w:hAnsi="Times New Roman"/>
          <w:b/>
          <w:color w:val="000000"/>
          <w:sz w:val="22"/>
        </w:rPr>
        <w:t>PURSUANT TO RULE 13a-14(a) OR 15d-14(a)</w:t>
      </w:r>
    </w:p>
    <w:p>
      <w:pPr>
        <w:pStyle w:val="TextBody"/>
        <w:bidi w:val="0"/>
        <w:jc w:val="center"/>
        <w:rPr>
          <w:rFonts w:ascii="Times New Roman" w:hAnsi="Times New Roman"/>
          <w:b/>
          <w:color w:val="000000"/>
          <w:sz w:val="22"/>
        </w:rPr>
      </w:pPr>
      <w:r>
        <w:rPr>
          <w:rFonts w:ascii="Times New Roman" w:hAnsi="Times New Roman"/>
          <w:b/>
          <w:color w:val="000000"/>
          <w:sz w:val="22"/>
        </w:rPr>
        <w:t>OF THE SECURITIES EXCHANGE ACT OF 1934, AS ADOPTED</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302 OF THE SARBANES-OXLEY ACT OF 2002</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Sanjay Beri, certify that: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 I have reviewed this Quarterly Report on Form 10-Q of Netskope, Inc.;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Date: September 2, 2026</w:t>
      </w:r>
    </w:p>
    <w:tbl>
      <w:tblPr>
        <w:tblW w:w="2717" w:type="dxa"/>
        <w:jc w:val="left"/>
        <w:tblInd w:w="0" w:type="dxa"/>
        <w:tblLayout w:type="fixed"/>
        <w:tblCellMar>
          <w:top w:w="28" w:type="dxa"/>
          <w:left w:w="28" w:type="dxa"/>
          <w:bottom w:w="28" w:type="dxa"/>
          <w:right w:w="28" w:type="dxa"/>
        </w:tblCellMar>
      </w:tblPr>
      <w:tblGrid>
        <w:gridCol w:w="6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Sanjay Beri</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Beri</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ntsk-ex31_2.htm"/>
      <w:bookmarkStart w:id="26" w:name="ksntskex31_2"/>
      <w:bookmarkEnd w:id="25"/>
      <w:bookmarkEnd w:id="26"/>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CERTIFICATION OF PRINCIPAL FINANCIAL OFFICER</w:t>
      </w:r>
    </w:p>
    <w:p>
      <w:pPr>
        <w:pStyle w:val="TextBody"/>
        <w:bidi w:val="0"/>
        <w:jc w:val="center"/>
        <w:rPr>
          <w:rFonts w:ascii="Times New Roman" w:hAnsi="Times New Roman"/>
          <w:b/>
          <w:color w:val="000000"/>
          <w:sz w:val="22"/>
        </w:rPr>
      </w:pPr>
      <w:r>
        <w:rPr>
          <w:rFonts w:ascii="Times New Roman" w:hAnsi="Times New Roman"/>
          <w:b/>
          <w:color w:val="000000"/>
          <w:sz w:val="22"/>
        </w:rPr>
        <w:t>PURSUANT TO RULE 13a-14(a) OR 15d-14(a)</w:t>
      </w:r>
    </w:p>
    <w:p>
      <w:pPr>
        <w:pStyle w:val="TextBody"/>
        <w:bidi w:val="0"/>
        <w:jc w:val="center"/>
        <w:rPr>
          <w:rFonts w:ascii="Times New Roman" w:hAnsi="Times New Roman"/>
          <w:b/>
          <w:color w:val="000000"/>
          <w:sz w:val="22"/>
        </w:rPr>
      </w:pPr>
      <w:r>
        <w:rPr>
          <w:rFonts w:ascii="Times New Roman" w:hAnsi="Times New Roman"/>
          <w:b/>
          <w:color w:val="000000"/>
          <w:sz w:val="22"/>
        </w:rPr>
        <w:t>OF THE SECURITIES EXCHANGE ACT OF 1934, AS ADOPTED</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302 OF THE SARBANES-OXLEY ACT OF 2002</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 Drew Del Matto, certify that: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 I have reviewed this Quarterly Report on Form 10-Q of Netskope, Inc.;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Date: September 2, 2026</w:t>
      </w:r>
    </w:p>
    <w:tbl>
      <w:tblPr>
        <w:tblW w:w="2657" w:type="dxa"/>
        <w:jc w:val="left"/>
        <w:tblInd w:w="0" w:type="dxa"/>
        <w:tblLayout w:type="fixed"/>
        <w:tblCellMar>
          <w:top w:w="28" w:type="dxa"/>
          <w:left w:w="28" w:type="dxa"/>
          <w:bottom w:w="28" w:type="dxa"/>
          <w:right w:w="28" w:type="dxa"/>
        </w:tblCellMar>
      </w:tblPr>
      <w:tblGrid>
        <w:gridCol w:w="6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Drew Del Matto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Drew Del Matto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ntsk-ex32_1.htm"/>
      <w:bookmarkStart w:id="28" w:name="ksntskex32_1"/>
      <w:bookmarkEnd w:id="27"/>
      <w:bookmarkEnd w:id="28"/>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CERTIFICATION OF THE CHIEF EXECUTIVE OFFICER</w:t>
      </w:r>
    </w:p>
    <w:p>
      <w:pPr>
        <w:pStyle w:val="TextBody"/>
        <w:bidi w:val="0"/>
        <w:jc w:val="center"/>
        <w:rPr>
          <w:rFonts w:ascii="Times New Roman" w:hAnsi="Times New Roman"/>
          <w:b/>
          <w:color w:val="000000"/>
          <w:sz w:val="22"/>
        </w:rPr>
      </w:pPr>
      <w:r>
        <w:rPr>
          <w:rFonts w:ascii="Times New Roman" w:hAnsi="Times New Roman"/>
          <w:b/>
          <w:color w:val="000000"/>
          <w:sz w:val="22"/>
        </w:rPr>
        <w:t>PURSUANT TO 18 U.S.C. SECTION 1350, AS ADOPTED PURSUANT TO</w:t>
      </w:r>
    </w:p>
    <w:p>
      <w:pPr>
        <w:pStyle w:val="TextBody"/>
        <w:bidi w:val="0"/>
        <w:jc w:val="center"/>
        <w:rPr>
          <w:rFonts w:ascii="Times New Roman" w:hAnsi="Times New Roman"/>
          <w:b/>
          <w:color w:val="000000"/>
          <w:sz w:val="22"/>
        </w:rPr>
      </w:pPr>
      <w:r>
        <w:rPr>
          <w:rFonts w:ascii="Times New Roman" w:hAnsi="Times New Roman"/>
          <w:b/>
          <w:color w:val="000000"/>
          <w:sz w:val="22"/>
        </w:rPr>
        <w:t>SECTION 906 OF THE SARBANES-OXLEY ACT OF 2002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connection with the Quarterly Report of Netskope, Inc. (the “Company”) on Form 10-Q for the three months ended July 31, 2026, as filed with the Securities and Exchange Commission on the date hereof (the “Report”), I, Sanjay Beri, Chief Executive Officer of the Company, hereby certify, pursuant to 18 U.S.C. Section 1350, as adopted pursuant to Section 906 of the Sarbanes-Oxley Act of 2002, that, to the best of my knowledge: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1.The Report fully complies with the requirements of Section 13(a) or 15(d) of the Securities Exchange Act of 1934, as amended;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2.The information contained in the Report fairly presents, in all material respects, the financial condition and results of operations of the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Date: September 2, 2026</w:t>
      </w:r>
    </w:p>
    <w:tbl>
      <w:tblPr>
        <w:tblW w:w="2762" w:type="dxa"/>
        <w:jc w:val="left"/>
        <w:tblInd w:w="0" w:type="dxa"/>
        <w:tblLayout w:type="fixed"/>
        <w:tblCellMar>
          <w:top w:w="28" w:type="dxa"/>
          <w:left w:w="28" w:type="dxa"/>
          <w:bottom w:w="28" w:type="dxa"/>
          <w:right w:w="28" w:type="dxa"/>
        </w:tblCellMar>
      </w:tblPr>
      <w:tblGrid>
        <w:gridCol w:w="646"/>
        <w:gridCol w:w="2116"/>
      </w:tblGrid>
      <w:tr>
        <w:trPr/>
        <w:tc>
          <w:tcPr>
            <w:tcW w:w="6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Sanjay Beri</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Beri</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ntsk-ex32_2.htm"/>
      <w:bookmarkStart w:id="30" w:name="ksntskex32_2"/>
      <w:bookmarkEnd w:id="29"/>
      <w:bookmarkEnd w:id="30"/>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CERTIFICATION OF THE CHIEF FINANCIAL OFFICER</w:t>
      </w:r>
    </w:p>
    <w:p>
      <w:pPr>
        <w:pStyle w:val="TextBody"/>
        <w:bidi w:val="0"/>
        <w:jc w:val="center"/>
        <w:rPr>
          <w:rFonts w:ascii="Times New Roman" w:hAnsi="Times New Roman"/>
          <w:b/>
          <w:color w:val="000000"/>
          <w:sz w:val="22"/>
        </w:rPr>
      </w:pPr>
      <w:r>
        <w:rPr>
          <w:rFonts w:ascii="Times New Roman" w:hAnsi="Times New Roman"/>
          <w:b/>
          <w:color w:val="000000"/>
          <w:sz w:val="22"/>
        </w:rPr>
        <w:t>PURSUANT TO 18 U.S.C. SECTION 1350, AS ADOPTED PURSUANT TO</w:t>
      </w:r>
    </w:p>
    <w:p>
      <w:pPr>
        <w:pStyle w:val="TextBody"/>
        <w:bidi w:val="0"/>
        <w:jc w:val="center"/>
        <w:rPr>
          <w:rFonts w:ascii="Times New Roman" w:hAnsi="Times New Roman"/>
          <w:b/>
          <w:color w:val="000000"/>
          <w:sz w:val="22"/>
        </w:rPr>
      </w:pPr>
      <w:r>
        <w:rPr>
          <w:rFonts w:ascii="Times New Roman" w:hAnsi="Times New Roman"/>
          <w:b/>
          <w:color w:val="000000"/>
          <w:sz w:val="22"/>
        </w:rPr>
        <w:t>SECTION 906 OF THE SARBANES-OXLEY ACT OF 2002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connection with the Quarterly Report of Netskope, Inc. (the “Company”) on Form 10-Q for the three months ended July 31, 2026, as filed with the Securities and Exchange Commission on the date hereof (the “Report”), I, Drew Del Matto, Chief Financial Officer of the Company, hereby certify, pursuant to 18 U.S.C. Section 1350, as adopted pursuant to Section 906 of the Sarbanes-Oxley Act of 2002, that, to the best of my knowledge: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1.The Report fully complies with the requirements of Section 13(a) or 15(d) of the Securities Exchange Act of 1934, as amended;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2.The information contained in the Report fairly presents, in all material respects, the financial condition and results of operations of the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Date: September 2, 2026</w:t>
      </w:r>
    </w:p>
    <w:tbl>
      <w:tblPr>
        <w:tblW w:w="2702" w:type="dxa"/>
        <w:jc w:val="left"/>
        <w:tblInd w:w="0" w:type="dxa"/>
        <w:tblLayout w:type="fixed"/>
        <w:tblCellMar>
          <w:top w:w="28" w:type="dxa"/>
          <w:left w:w="28" w:type="dxa"/>
          <w:bottom w:w="28" w:type="dxa"/>
          <w:right w:w="28" w:type="dxa"/>
        </w:tblCellMar>
      </w:tblPr>
      <w:tblGrid>
        <w:gridCol w:w="646"/>
        <w:gridCol w:w="2056"/>
      </w:tblGrid>
      <w:tr>
        <w:trPr/>
        <w:tc>
          <w:tcPr>
            <w:tcW w:w="6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Drew Del Matto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Drew Del Matto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58381</Words>
  <Characters>322429</Characters>
  <CharactersWithSpaces>381538</CharactersWithSpaces>
  <Paragraphs>7813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