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-601980</wp:posOffset>
            </wp:positionV>
            <wp:extent cx="57150" cy="61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638810</wp:posOffset>
            </wp:positionV>
            <wp:extent cx="7049135" cy="8833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833485"/>
                    </a:xfrm>
                    <a:prstGeom prst="rect">
                      <a:avLst/>
                    </a:prstGeom>
                    <a:noFill/>
                  </pic:spPr>
                </pic:pic>
              </a:graphicData>
            </a:graphic>
          </wp:anchor>
        </w:drawing>
      </w:r>
    </w:p>
    <w:p>
      <w:pPr>
        <w:spacing w:after="0" w:line="1018" w:lineRule="exact"/>
        <w:rPr>
          <w:sz w:val="24"/>
          <w:szCs w:val="24"/>
          <w:color w:val="auto"/>
        </w:rPr>
      </w:pPr>
    </w:p>
    <w:p>
      <w:pPr>
        <w:sectPr>
          <w:pgSz w:w="11900" w:h="16838" w:orient="portrait"/>
          <w:cols w:equalWidth="0" w:num="2">
            <w:col w:w="2300" w:space="400"/>
            <w:col w:w="8380"/>
          </w:cols>
          <w:pgMar w:left="460" w:top="213" w:right="359" w:bottom="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6"/>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0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6"/>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Lightspeed Venture Partners Select, L.P.</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5"/>
          </w:tcPr>
          <w:p>
            <w:pPr>
              <w:ind w:left="6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Netskope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NTSK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color w:val="auto"/>
              </w:rPr>
              <w:t>(Check all applicable)</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780" w:type="dxa"/>
            <w:vAlign w:val="bottom"/>
          </w:tcPr>
          <w:p>
            <w:pPr>
              <w:spacing w:after="0"/>
              <w:rPr>
                <w:sz w:val="4"/>
                <w:szCs w:val="4"/>
                <w:color w:val="auto"/>
              </w:rPr>
            </w:pPr>
          </w:p>
        </w:tc>
        <w:tc>
          <w:tcPr>
            <w:tcW w:w="1520" w:type="dxa"/>
            <w:vAlign w:val="bottom"/>
            <w:gridSpan w:val="6"/>
            <w:vMerge w:val="restart"/>
          </w:tcPr>
          <w:p>
            <w:pPr>
              <w:ind w:left="2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80" w:type="dxa"/>
            <w:vAlign w:val="bottom"/>
            <w:gridSpan w:val="2"/>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520" w:type="dxa"/>
            <w:vAlign w:val="bottom"/>
            <w:gridSpan w:val="6"/>
            <w:vMerge w:val="restart"/>
          </w:tcPr>
          <w:p>
            <w:pPr>
              <w:ind w:left="2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52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2"/>
            <w:vMerge w:val="restart"/>
          </w:tcPr>
          <w:p>
            <w:pPr>
              <w:ind w:left="660"/>
              <w:spacing w:after="0"/>
              <w:rPr>
                <w:sz w:val="20"/>
                <w:szCs w:val="20"/>
                <w:color w:val="auto"/>
              </w:rPr>
            </w:pPr>
            <w:r>
              <w:rPr>
                <w:rFonts w:ascii="Arial" w:cs="Arial" w:eastAsia="Arial" w:hAnsi="Arial"/>
                <w:sz w:val="12"/>
                <w:szCs w:val="12"/>
                <w:color w:val="auto"/>
              </w:rPr>
              <w:t>(First)</w:t>
            </w:r>
          </w:p>
        </w:tc>
        <w:tc>
          <w:tcPr>
            <w:tcW w:w="1020" w:type="dxa"/>
            <w:vAlign w:val="bottom"/>
            <w:gridSpan w:val="2"/>
            <w:vMerge w:val="restart"/>
          </w:tcPr>
          <w:p>
            <w:pPr>
              <w:ind w:left="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80" w:type="dxa"/>
            <w:vAlign w:val="bottom"/>
          </w:tcPr>
          <w:p>
            <w:pPr>
              <w:spacing w:after="0"/>
              <w:rPr>
                <w:sz w:val="3"/>
                <w:szCs w:val="3"/>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2"/>
                <w:szCs w:val="12"/>
                <w:color w:val="auto"/>
              </w:rPr>
              <w:t>below)</w:t>
            </w: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780" w:type="dxa"/>
            <w:vAlign w:val="bottom"/>
            <w:gridSpan w:val="6"/>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1440" w:type="dxa"/>
            <w:vAlign w:val="bottom"/>
            <w:gridSpan w:val="5"/>
          </w:tcPr>
          <w:p>
            <w:pPr>
              <w:ind w:left="400"/>
              <w:spacing w:after="0"/>
              <w:rPr>
                <w:sz w:val="20"/>
                <w:szCs w:val="20"/>
                <w:color w:val="auto"/>
              </w:rPr>
            </w:pPr>
            <w:r>
              <w:rPr>
                <w:rFonts w:ascii="Times New Roman" w:cs="Times New Roman" w:eastAsia="Times New Roman" w:hAnsi="Times New Roman"/>
                <w:sz w:val="16"/>
                <w:szCs w:val="16"/>
                <w:color w:val="0000FF"/>
              </w:rPr>
              <w:t>06/12/2026</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230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420" w:type="dxa"/>
            <w:vAlign w:val="bottom"/>
          </w:tcPr>
          <w:p>
            <w:pPr>
              <w:spacing w:after="0"/>
              <w:rPr>
                <w:sz w:val="2"/>
                <w:szCs w:val="2"/>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vMerge w:val="continue"/>
          </w:tcPr>
          <w:p>
            <w:pPr>
              <w:spacing w:after="0"/>
              <w:rPr>
                <w:sz w:val="13"/>
                <w:szCs w:val="13"/>
                <w:color w:val="auto"/>
              </w:rPr>
            </w:pPr>
          </w:p>
        </w:tc>
        <w:tc>
          <w:tcPr>
            <w:tcW w:w="420" w:type="dxa"/>
            <w:vAlign w:val="bottom"/>
          </w:tcPr>
          <w:p>
            <w:pPr>
              <w:spacing w:after="0"/>
              <w:rPr>
                <w:sz w:val="13"/>
                <w:szCs w:val="13"/>
                <w:color w:val="auto"/>
              </w:rPr>
            </w:pPr>
          </w:p>
        </w:tc>
        <w:tc>
          <w:tcPr>
            <w:tcW w:w="342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80" w:type="dxa"/>
            <w:vAlign w:val="bottom"/>
            <w:gridSpan w:val="4"/>
            <w:vMerge w:val="restart"/>
          </w:tcPr>
          <w:p>
            <w:pPr>
              <w:ind w:left="18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   CA</w:t>
            </w: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94025</w:t>
            </w: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gridSpan w:val="2"/>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8"/>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6"/>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gridSpan w:val="2"/>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80" w:type="dxa"/>
            <w:vAlign w:val="bottom"/>
            <w:gridSpan w:val="6"/>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20"/>
              <w:spacing w:after="0" w:line="124" w:lineRule="exact"/>
              <w:rPr>
                <w:sz w:val="20"/>
                <w:szCs w:val="20"/>
                <w:color w:val="auto"/>
              </w:rPr>
            </w:pPr>
            <w:r>
              <w:rPr>
                <w:rFonts w:ascii="Arial" w:cs="Arial" w:eastAsia="Arial" w:hAnsi="Arial"/>
                <w:sz w:val="11"/>
                <w:szCs w:val="11"/>
                <w:b w:val="1"/>
                <w:bCs w:val="1"/>
                <w:color w:val="auto"/>
              </w:rPr>
              <w:t>Form: Direct</w:t>
            </w:r>
          </w:p>
        </w:tc>
        <w:tc>
          <w:tcPr>
            <w:tcW w:w="10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6"/>
          </w:tcPr>
          <w:p>
            <w:pPr>
              <w:ind w:left="76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20"/>
              <w:spacing w:after="0" w:line="124" w:lineRule="exact"/>
              <w:rPr>
                <w:sz w:val="20"/>
                <w:szCs w:val="20"/>
                <w:color w:val="auto"/>
              </w:rPr>
            </w:pPr>
            <w:r>
              <w:rPr>
                <w:rFonts w:ascii="Arial" w:cs="Arial" w:eastAsia="Arial" w:hAnsi="Arial"/>
                <w:sz w:val="11"/>
                <w:szCs w:val="11"/>
                <w:b w:val="1"/>
                <w:bCs w:val="1"/>
                <w:color w:val="auto"/>
              </w:rPr>
              <w:t>(D) or Indirect</w:t>
            </w:r>
          </w:p>
        </w:tc>
        <w:tc>
          <w:tcPr>
            <w:tcW w:w="10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0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gridSpan w:val="5"/>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5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vMerge w:val="continue"/>
          </w:tcPr>
          <w:p>
            <w:pPr>
              <w:spacing w:after="0"/>
              <w:rPr>
                <w:sz w:val="7"/>
                <w:szCs w:val="7"/>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6"/>
            <w:vMerge w:val="restart"/>
          </w:tcPr>
          <w:p>
            <w:pPr>
              <w:ind w:left="840"/>
              <w:spacing w:after="0"/>
              <w:rPr>
                <w:sz w:val="20"/>
                <w:szCs w:val="20"/>
                <w:color w:val="auto"/>
              </w:rPr>
            </w:pPr>
            <w:r>
              <w:rPr>
                <w:rFonts w:ascii="Times New Roman" w:cs="Times New Roman" w:eastAsia="Times New Roman" w:hAnsi="Times New Roman"/>
                <w:sz w:val="16"/>
                <w:szCs w:val="16"/>
                <w:color w:val="0000FF"/>
              </w:rPr>
              <w:t>06/12/2026</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0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16"/>
                <w:szCs w:val="16"/>
                <w:color w:val="0000FF"/>
              </w:rPr>
              <w:t>1,650,000</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7"/>
                <w:szCs w:val="17"/>
                <w:color w:val="auto"/>
              </w:rPr>
            </w:pPr>
          </w:p>
        </w:tc>
        <w:tc>
          <w:tcPr>
            <w:tcW w:w="1520" w:type="dxa"/>
            <w:vAlign w:val="bottom"/>
            <w:gridSpan w:val="3"/>
            <w:vMerge w:val="restart"/>
          </w:tcPr>
          <w:p>
            <w:pPr>
              <w:jc w:val="center"/>
              <w:ind w:right="423"/>
              <w:spacing w:after="0"/>
              <w:rPr>
                <w:sz w:val="20"/>
                <w:szCs w:val="20"/>
                <w:color w:val="auto"/>
              </w:rPr>
            </w:pPr>
            <w:r>
              <w:rPr>
                <w:rFonts w:ascii="Times New Roman" w:cs="Times New Roman" w:eastAsia="Times New Roman" w:hAnsi="Times New Roman"/>
                <w:sz w:val="16"/>
                <w:szCs w:val="16"/>
                <w:color w:val="0000FF"/>
                <w:w w:val="99"/>
              </w:rPr>
              <w:t>1,650,000</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gridSpan w:val="5"/>
            <w:vMerge w:val="continue"/>
          </w:tcPr>
          <w:p>
            <w:pPr>
              <w:spacing w:after="0"/>
              <w:rPr>
                <w:sz w:val="9"/>
                <w:szCs w:val="9"/>
                <w:color w:val="auto"/>
              </w:rPr>
            </w:pPr>
          </w:p>
        </w:tc>
        <w:tc>
          <w:tcPr>
            <w:tcW w:w="176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Opportunity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6"/>
            <w:vMerge w:val="restart"/>
          </w:tcPr>
          <w:p>
            <w:pPr>
              <w:ind w:left="840"/>
              <w:spacing w:after="0"/>
              <w:rPr>
                <w:sz w:val="20"/>
                <w:szCs w:val="20"/>
                <w:color w:val="auto"/>
              </w:rPr>
            </w:pPr>
            <w:r>
              <w:rPr>
                <w:rFonts w:ascii="Times New Roman" w:cs="Times New Roman" w:eastAsia="Times New Roman" w:hAnsi="Times New Roman"/>
                <w:sz w:val="16"/>
                <w:szCs w:val="16"/>
                <w:color w:val="0000FF"/>
              </w:rPr>
              <w:t>06/12/2026</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16"/>
                <w:szCs w:val="16"/>
                <w:color w:val="0000FF"/>
              </w:rPr>
              <w:t>1,313,827</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gridSpan w:val="2"/>
            <w:vMerge w:val="restart"/>
          </w:tcPr>
          <w:p>
            <w:pPr>
              <w:jc w:val="center"/>
              <w:ind w:left="32"/>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9.19</w:t>
            </w:r>
            <w:r>
              <w:rPr>
                <w:rFonts w:ascii="Times New Roman" w:cs="Times New Roman" w:eastAsia="Times New Roman" w:hAnsi="Times New Roman"/>
                <w:sz w:val="20"/>
                <w:szCs w:val="20"/>
                <w:color w:val="008000"/>
                <w:w w:val="95"/>
                <w:vertAlign w:val="superscript"/>
              </w:rPr>
              <w:t>(3)</w:t>
            </w:r>
          </w:p>
        </w:tc>
        <w:tc>
          <w:tcPr>
            <w:tcW w:w="40" w:type="dxa"/>
            <w:vAlign w:val="bottom"/>
          </w:tcPr>
          <w:p>
            <w:pPr>
              <w:spacing w:after="0"/>
              <w:rPr>
                <w:sz w:val="17"/>
                <w:szCs w:val="17"/>
                <w:color w:val="auto"/>
              </w:rPr>
            </w:pPr>
          </w:p>
        </w:tc>
        <w:tc>
          <w:tcPr>
            <w:tcW w:w="1520" w:type="dxa"/>
            <w:vAlign w:val="bottom"/>
            <w:gridSpan w:val="3"/>
            <w:vMerge w:val="restart"/>
          </w:tcPr>
          <w:p>
            <w:pPr>
              <w:jc w:val="center"/>
              <w:ind w:right="423"/>
              <w:spacing w:after="0"/>
              <w:rPr>
                <w:sz w:val="20"/>
                <w:szCs w:val="20"/>
                <w:color w:val="auto"/>
              </w:rPr>
            </w:pPr>
            <w:r>
              <w:rPr>
                <w:rFonts w:ascii="Times New Roman" w:cs="Times New Roman" w:eastAsia="Times New Roman" w:hAnsi="Times New Roman"/>
                <w:sz w:val="16"/>
                <w:szCs w:val="16"/>
                <w:color w:val="0000FF"/>
                <w:w w:val="99"/>
              </w:rPr>
              <w:t>336,173</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Opportunity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6"/>
            <w:vMerge w:val="restart"/>
          </w:tcPr>
          <w:p>
            <w:pPr>
              <w:ind w:left="840"/>
              <w:spacing w:after="0"/>
              <w:rPr>
                <w:sz w:val="20"/>
                <w:szCs w:val="20"/>
                <w:color w:val="auto"/>
              </w:rPr>
            </w:pPr>
            <w:r>
              <w:rPr>
                <w:rFonts w:ascii="Times New Roman" w:cs="Times New Roman" w:eastAsia="Times New Roman" w:hAnsi="Times New Roman"/>
                <w:sz w:val="16"/>
                <w:szCs w:val="16"/>
                <w:color w:val="0000FF"/>
              </w:rPr>
              <w:t>06/15/2026</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16"/>
                <w:szCs w:val="16"/>
                <w:color w:val="0000FF"/>
              </w:rPr>
              <w:t>336,173</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gridSpan w:val="2"/>
            <w:vMerge w:val="restart"/>
          </w:tcPr>
          <w:p>
            <w:pPr>
              <w:jc w:val="center"/>
              <w:ind w:left="32"/>
              <w:spacing w:after="0" w:line="359" w:lineRule="exact"/>
              <w:rPr>
                <w:sz w:val="20"/>
                <w:szCs w:val="20"/>
                <w:color w:val="auto"/>
              </w:rPr>
            </w:pPr>
            <w:r>
              <w:rPr>
                <w:rFonts w:ascii="Arial" w:cs="Arial" w:eastAsia="Arial" w:hAnsi="Arial"/>
                <w:sz w:val="32"/>
                <w:szCs w:val="32"/>
                <w:color w:val="000000"/>
                <w:w w:val="87"/>
                <w:vertAlign w:val="subscript"/>
              </w:rPr>
              <w:t>$</w:t>
            </w:r>
            <w:r>
              <w:rPr>
                <w:rFonts w:ascii="Times New Roman" w:cs="Times New Roman" w:eastAsia="Times New Roman" w:hAnsi="Times New Roman"/>
                <w:sz w:val="32"/>
                <w:szCs w:val="32"/>
                <w:color w:val="0000FF"/>
                <w:w w:val="87"/>
                <w:vertAlign w:val="subscript"/>
              </w:rPr>
              <w:t>9</w:t>
            </w:r>
            <w:r>
              <w:rPr>
                <w:rFonts w:ascii="Times New Roman" w:cs="Times New Roman" w:eastAsia="Times New Roman" w:hAnsi="Times New Roman"/>
                <w:sz w:val="10"/>
                <w:szCs w:val="10"/>
                <w:color w:val="008000"/>
                <w:w w:val="87"/>
              </w:rPr>
              <w:t>(4)</w:t>
            </w:r>
          </w:p>
        </w:tc>
        <w:tc>
          <w:tcPr>
            <w:tcW w:w="40" w:type="dxa"/>
            <w:vAlign w:val="bottom"/>
          </w:tcPr>
          <w:p>
            <w:pPr>
              <w:spacing w:after="0"/>
              <w:rPr>
                <w:sz w:val="17"/>
                <w:szCs w:val="17"/>
                <w:color w:val="auto"/>
              </w:rPr>
            </w:pPr>
          </w:p>
        </w:tc>
        <w:tc>
          <w:tcPr>
            <w:tcW w:w="740" w:type="dxa"/>
            <w:vAlign w:val="bottom"/>
            <w:gridSpan w:val="2"/>
            <w:vMerge w:val="restart"/>
          </w:tcPr>
          <w:p>
            <w:pPr>
              <w:jc w:val="center"/>
              <w:ind w:left="238"/>
              <w:spacing w:after="0"/>
              <w:rPr>
                <w:sz w:val="20"/>
                <w:szCs w:val="20"/>
                <w:color w:val="auto"/>
              </w:rPr>
            </w:pPr>
            <w:r>
              <w:rPr>
                <w:rFonts w:ascii="Times New Roman" w:cs="Times New Roman" w:eastAsia="Times New Roman" w:hAnsi="Times New Roman"/>
                <w:sz w:val="16"/>
                <w:szCs w:val="16"/>
                <w:color w:val="0000FF"/>
                <w:w w:val="99"/>
              </w:rPr>
              <w:t>0</w:t>
            </w:r>
          </w:p>
        </w:tc>
        <w:tc>
          <w:tcPr>
            <w:tcW w:w="780" w:type="dxa"/>
            <w:vAlign w:val="bottom"/>
          </w:tcPr>
          <w:p>
            <w:pPr>
              <w:spacing w:after="0"/>
              <w:rPr>
                <w:sz w:val="17"/>
                <w:szCs w:val="17"/>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Opportunity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07"/>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7"/>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740" w:type="dxa"/>
            <w:vAlign w:val="bottom"/>
            <w:gridSpan w:val="14"/>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4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1,650,000</w:t>
            </w:r>
          </w:p>
        </w:tc>
        <w:tc>
          <w:tcPr>
            <w:tcW w:w="40" w:type="dxa"/>
            <w:vAlign w:val="bottom"/>
          </w:tcPr>
          <w:p>
            <w:pPr>
              <w:spacing w:after="0"/>
              <w:rPr>
                <w:sz w:val="11"/>
                <w:szCs w:val="11"/>
                <w:color w:val="auto"/>
              </w:rPr>
            </w:pPr>
          </w:p>
        </w:tc>
        <w:tc>
          <w:tcPr>
            <w:tcW w:w="7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06/12/2026</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000" w:type="dxa"/>
            <w:vAlign w:val="bottom"/>
            <w:gridSpan w:val="2"/>
          </w:tcPr>
          <w:p>
            <w:pPr>
              <w:ind w:left="380"/>
              <w:spacing w:after="0" w:line="136" w:lineRule="exact"/>
              <w:rPr>
                <w:sz w:val="20"/>
                <w:szCs w:val="20"/>
                <w:color w:val="auto"/>
              </w:rPr>
            </w:pPr>
            <w:r>
              <w:rPr>
                <w:rFonts w:ascii="Times New Roman" w:cs="Times New Roman" w:eastAsia="Times New Roman" w:hAnsi="Times New Roman"/>
                <w:sz w:val="12"/>
                <w:szCs w:val="12"/>
                <w:color w:val="0000FF"/>
              </w:rPr>
              <w:t>1,650,000</w:t>
            </w:r>
          </w:p>
        </w:tc>
        <w:tc>
          <w:tcPr>
            <w:tcW w:w="7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2,690,640</w:t>
            </w:r>
          </w:p>
        </w:tc>
        <w:tc>
          <w:tcPr>
            <w:tcW w:w="500" w:type="dxa"/>
            <w:vAlign w:val="bottom"/>
          </w:tcPr>
          <w:p>
            <w:pPr>
              <w:ind w:left="40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94"/>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4"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20,231,286</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7"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20,231,286</w:t>
            </w:r>
          </w:p>
        </w:tc>
        <w:tc>
          <w:tcPr>
            <w:tcW w:w="500" w:type="dxa"/>
            <w:vAlign w:val="bottom"/>
          </w:tcPr>
          <w:p>
            <w:pPr>
              <w:ind w:left="40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94"/>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Partners IX,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gridSpan w:val="3"/>
          </w:tcPr>
          <w:p>
            <w:pPr>
              <w:ind w:left="40"/>
              <w:spacing w:after="0" w:line="223"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219,075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7"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219,075</w:t>
            </w:r>
          </w:p>
        </w:tc>
        <w:tc>
          <w:tcPr>
            <w:tcW w:w="500" w:type="dxa"/>
            <w:vAlign w:val="bottom"/>
          </w:tcPr>
          <w:p>
            <w:pPr>
              <w:ind w:left="40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94"/>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gridSpan w:val="3"/>
          </w:tcPr>
          <w:p>
            <w:pPr>
              <w:ind w:left="40"/>
              <w:spacing w:after="0" w:line="223" w:lineRule="exact"/>
              <w:rPr>
                <w:sz w:val="20"/>
                <w:szCs w:val="20"/>
                <w:color w:val="auto"/>
              </w:rPr>
            </w:pPr>
            <w:r>
              <w:rPr>
                <w:rFonts w:ascii="Times New Roman" w:cs="Times New Roman" w:eastAsia="Times New Roman" w:hAnsi="Times New Roman"/>
                <w:sz w:val="12"/>
                <w:szCs w:val="12"/>
                <w:color w:val="0000FF"/>
              </w:rPr>
              <w:t>XII, L.P.</w:t>
            </w:r>
            <w:r>
              <w:rPr>
                <w:rFonts w:ascii="Times New Roman" w:cs="Times New Roman" w:eastAsia="Times New Roman" w:hAnsi="Times New Roman"/>
                <w:sz w:val="20"/>
                <w:szCs w:val="20"/>
                <w:color w:val="008000"/>
                <w:vertAlign w:val="superscript"/>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vMerge w:val="continue"/>
          </w:tcPr>
          <w:p>
            <w:pPr>
              <w:spacing w:after="0"/>
              <w:rPr>
                <w:sz w:val="6"/>
                <w:szCs w:val="6"/>
                <w:color w:val="auto"/>
              </w:rPr>
            </w:pPr>
          </w:p>
        </w:tc>
        <w:tc>
          <w:tcPr>
            <w:tcW w:w="800" w:type="dxa"/>
            <w:vAlign w:val="bottom"/>
            <w:gridSpan w:val="3"/>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15,608,645</w:t>
            </w: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15,608,645</w:t>
            </w:r>
          </w:p>
        </w:tc>
        <w:tc>
          <w:tcPr>
            <w:tcW w:w="500" w:type="dxa"/>
            <w:vAlign w:val="bottom"/>
            <w:vMerge w:val="restart"/>
          </w:tcPr>
          <w:p>
            <w:pPr>
              <w:ind w:left="40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SPV II,</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94"/>
              <w:spacing w:after="0"/>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(8)</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vMerge w:val="continue"/>
          </w:tcPr>
          <w:p>
            <w:pPr>
              <w:spacing w:after="0"/>
              <w:rPr>
                <w:sz w:val="6"/>
                <w:szCs w:val="6"/>
                <w:color w:val="auto"/>
              </w:rPr>
            </w:pPr>
          </w:p>
        </w:tc>
        <w:tc>
          <w:tcPr>
            <w:tcW w:w="760" w:type="dxa"/>
            <w:vAlign w:val="bottom"/>
            <w:gridSpan w:val="2"/>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7,765,561</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7,765,561</w:t>
            </w:r>
          </w:p>
        </w:tc>
        <w:tc>
          <w:tcPr>
            <w:tcW w:w="500" w:type="dxa"/>
            <w:vAlign w:val="bottom"/>
            <w:vMerge w:val="restart"/>
          </w:tcPr>
          <w:p>
            <w:pPr>
              <w:ind w:left="40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SPV II-B,</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94"/>
              <w:spacing w:after="0"/>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(9)</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8,818,610</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8,818,610</w:t>
            </w:r>
          </w:p>
        </w:tc>
        <w:tc>
          <w:tcPr>
            <w:tcW w:w="500" w:type="dxa"/>
            <w:vAlign w:val="bottom"/>
            <w:vMerge w:val="restart"/>
          </w:tcPr>
          <w:p>
            <w:pPr>
              <w:ind w:left="40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restart"/>
          </w:tcPr>
          <w:p>
            <w:pPr>
              <w:jc w:val="center"/>
              <w:ind w:right="94"/>
              <w:spacing w:after="0"/>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Select, 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3" w:right="359" w:bottom="40" w:gutter="0" w:footer="0" w:header="0"/>
          <w:type w:val="continuous"/>
        </w:sectPr>
      </w:pPr>
    </w:p>
    <w:p>
      <w:pPr>
        <w:ind w:left="10400"/>
        <w:spacing w:after="0"/>
        <w:rPr>
          <w:sz w:val="20"/>
          <w:szCs w:val="20"/>
          <w:color w:val="auto"/>
        </w:rPr>
      </w:pPr>
      <w:r>
        <w:rPr>
          <w:rFonts w:ascii="Times New Roman" w:cs="Times New Roman" w:eastAsia="Times New Roman" w:hAnsi="Times New Roman"/>
          <w:sz w:val="10"/>
          <w:szCs w:val="10"/>
          <w:color w:val="008000"/>
        </w:rPr>
        <w:t>(10)</w:t>
      </w:r>
    </w:p>
    <w:p>
      <w:pPr>
        <w:sectPr>
          <w:pgSz w:w="11900" w:h="16838" w:orient="portrait"/>
          <w:cols w:equalWidth="0" w:num="1">
            <w:col w:w="11080"/>
          </w:cols>
          <w:pgMar w:left="460" w:top="213" w:right="359" w:bottom="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0527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135" cy="1052703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5"/>
          </w:tcPr>
          <w:p>
            <w:pPr>
              <w:ind w:left="40"/>
              <w:spacing w:after="0"/>
              <w:rPr>
                <w:sz w:val="20"/>
                <w:szCs w:val="20"/>
                <w:color w:val="auto"/>
              </w:rPr>
            </w:pPr>
            <w:r>
              <w:rPr>
                <w:rFonts w:ascii="Arial" w:cs="Arial" w:eastAsia="Arial" w:hAnsi="Arial"/>
                <w:sz w:val="11"/>
                <w:szCs w:val="11"/>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0"/>
                <w:szCs w:val="10"/>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continue"/>
          </w:tcPr>
          <w:p>
            <w:pPr>
              <w:spacing w:after="0"/>
              <w:rPr>
                <w:sz w:val="6"/>
                <w:szCs w:val="6"/>
                <w:color w:val="auto"/>
              </w:rPr>
            </w:pPr>
          </w:p>
        </w:tc>
        <w:tc>
          <w:tcPr>
            <w:tcW w:w="860" w:type="dxa"/>
            <w:vAlign w:val="bottom"/>
            <w:vMerge w:val="restart"/>
          </w:tcPr>
          <w:p>
            <w:pPr>
              <w:jc w:val="right"/>
              <w:ind w:right="54"/>
              <w:spacing w:after="0" w:line="174" w:lineRule="exact"/>
              <w:rPr>
                <w:sz w:val="20"/>
                <w:szCs w:val="20"/>
                <w:color w:val="auto"/>
              </w:rPr>
            </w:pPr>
            <w:r>
              <w:rPr>
                <w:rFonts w:ascii="Times New Roman" w:cs="Times New Roman" w:eastAsia="Times New Roman" w:hAnsi="Times New Roman"/>
                <w:sz w:val="16"/>
                <w:szCs w:val="16"/>
                <w:color w:val="0000FF"/>
              </w:rPr>
              <w:t>7,508,890</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vMerge w:val="restart"/>
          </w:tcPr>
          <w:p>
            <w:pPr>
              <w:jc w:val="right"/>
              <w:ind w:right="124"/>
              <w:spacing w:after="0" w:line="100" w:lineRule="exact"/>
              <w:rPr>
                <w:sz w:val="20"/>
                <w:szCs w:val="20"/>
                <w:color w:val="auto"/>
              </w:rPr>
            </w:pPr>
            <w:r>
              <w:rPr>
                <w:rFonts w:ascii="Times New Roman" w:cs="Times New Roman" w:eastAsia="Times New Roman" w:hAnsi="Times New Roman"/>
                <w:sz w:val="11"/>
                <w:szCs w:val="11"/>
                <w:color w:val="0000FF"/>
              </w:rPr>
              <w:t>7,508,890</w:t>
            </w:r>
          </w:p>
        </w:tc>
        <w:tc>
          <w:tcPr>
            <w:tcW w:w="72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Select II,</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ind w:left="60"/>
              <w:spacing w:after="0" w:line="226"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vMerge w:val="restart"/>
          </w:tcPr>
          <w:p>
            <w:pPr>
              <w:jc w:val="right"/>
              <w:ind w:right="254"/>
              <w:spacing w:after="0"/>
              <w:rPr>
                <w:sz w:val="20"/>
                <w:szCs w:val="20"/>
                <w:color w:val="auto"/>
              </w:rPr>
            </w:pPr>
            <w:r>
              <w:rPr>
                <w:rFonts w:ascii="Times New Roman" w:cs="Times New Roman" w:eastAsia="Times New Roman" w:hAnsi="Times New Roman"/>
                <w:sz w:val="16"/>
                <w:szCs w:val="16"/>
                <w:color w:val="0000FF"/>
              </w:rPr>
              <w:t>500</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LSS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jc w:val="right"/>
              <w:ind w:right="284"/>
              <w:spacing w:after="0" w:line="136" w:lineRule="exact"/>
              <w:rPr>
                <w:sz w:val="20"/>
                <w:szCs w:val="20"/>
                <w:color w:val="auto"/>
              </w:rPr>
            </w:pPr>
            <w:r>
              <w:rPr>
                <w:rFonts w:ascii="Times New Roman" w:cs="Times New Roman" w:eastAsia="Times New Roman" w:hAnsi="Times New Roman"/>
                <w:sz w:val="12"/>
                <w:szCs w:val="12"/>
                <w:color w:val="0000FF"/>
              </w:rPr>
              <w:t>500</w:t>
            </w:r>
          </w:p>
        </w:tc>
        <w:tc>
          <w:tcPr>
            <w:tcW w:w="72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Fund II,</w:t>
            </w:r>
          </w:p>
        </w:tc>
        <w:tc>
          <w:tcPr>
            <w:tcW w:w="0" w:type="dxa"/>
            <w:vAlign w:val="bottom"/>
          </w:tcPr>
          <w:p>
            <w:pPr>
              <w:spacing w:after="0"/>
              <w:rPr>
                <w:sz w:val="1"/>
                <w:szCs w:val="1"/>
                <w:color w:val="auto"/>
              </w:rPr>
            </w:pPr>
          </w:p>
        </w:tc>
      </w:tr>
      <w:tr>
        <w:trPr>
          <w:trHeight w:val="268"/>
        </w:trPr>
        <w:tc>
          <w:tcPr>
            <w:tcW w:w="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gridSpan w:val="2"/>
          </w:tcPr>
          <w:p>
            <w:pPr>
              <w:ind w:left="60"/>
              <w:spacing w:after="0" w:line="222" w:lineRule="exact"/>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(12)</w:t>
            </w: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5"/>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9"/>
          </w:tcPr>
          <w:p>
            <w:pPr>
              <w:ind w:left="20"/>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Lightspeed Venture Partners Select, L.P.</w:t>
              </w:r>
            </w:hyperlink>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gridSpan w:val="5"/>
          </w:tcPr>
          <w:p>
            <w:pPr>
              <w:ind w:left="420"/>
              <w:spacing w:after="0"/>
              <w:rPr>
                <w:sz w:val="20"/>
                <w:szCs w:val="20"/>
                <w:color w:val="auto"/>
              </w:rPr>
            </w:pPr>
            <w:r>
              <w:rPr>
                <w:rFonts w:ascii="Arial" w:cs="Arial" w:eastAsia="Arial" w:hAnsi="Arial"/>
                <w:sz w:val="12"/>
                <w:szCs w:val="12"/>
                <w:color w:val="auto"/>
              </w:rPr>
              <w:t>(Middle)</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gridSpan w:val="5"/>
          </w:tcPr>
          <w:p>
            <w:pPr>
              <w:ind w:left="420"/>
              <w:spacing w:after="0"/>
              <w:rPr>
                <w:sz w:val="20"/>
                <w:szCs w:val="20"/>
                <w:color w:val="auto"/>
              </w:rPr>
            </w:pPr>
            <w:r>
              <w:rPr>
                <w:rFonts w:ascii="Arial" w:cs="Arial" w:eastAsia="Arial" w:hAnsi="Arial"/>
                <w:sz w:val="12"/>
                <w:szCs w:val="12"/>
                <w:color w:val="auto"/>
              </w:rPr>
              <w:t>(Zip)</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9"/>
          </w:tcPr>
          <w:p>
            <w:pPr>
              <w:ind w:left="20"/>
              <w:spacing w:after="0" w:line="211"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Lightspeed General Partner Select, L.P.</w:t>
              </w:r>
            </w:hyperlink>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gridSpan w:val="5"/>
          </w:tcPr>
          <w:p>
            <w:pPr>
              <w:ind w:left="420"/>
              <w:spacing w:after="0"/>
              <w:rPr>
                <w:sz w:val="20"/>
                <w:szCs w:val="20"/>
                <w:color w:val="auto"/>
              </w:rPr>
            </w:pPr>
            <w:r>
              <w:rPr>
                <w:rFonts w:ascii="Arial" w:cs="Arial" w:eastAsia="Arial" w:hAnsi="Arial"/>
                <w:sz w:val="12"/>
                <w:szCs w:val="12"/>
                <w:color w:val="auto"/>
              </w:rPr>
              <w:t>(Middle)</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gridSpan w:val="5"/>
          </w:tcPr>
          <w:p>
            <w:pPr>
              <w:ind w:left="420"/>
              <w:spacing w:after="0"/>
              <w:rPr>
                <w:sz w:val="20"/>
                <w:szCs w:val="20"/>
                <w:color w:val="auto"/>
              </w:rPr>
            </w:pPr>
            <w:r>
              <w:rPr>
                <w:rFonts w:ascii="Arial" w:cs="Arial" w:eastAsia="Arial" w:hAnsi="Arial"/>
                <w:sz w:val="12"/>
                <w:szCs w:val="12"/>
                <w:color w:val="auto"/>
              </w:rPr>
              <w:t>(Zip)</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1"/>
          </w:tcPr>
          <w:p>
            <w:pPr>
              <w:ind w:left="20"/>
              <w:spacing w:after="0" w:line="211"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Lightspeed Ultimate General Partner Select, Ltd.</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gridSpan w:val="5"/>
          </w:tcPr>
          <w:p>
            <w:pPr>
              <w:ind w:left="420"/>
              <w:spacing w:after="0"/>
              <w:rPr>
                <w:sz w:val="20"/>
                <w:szCs w:val="20"/>
                <w:color w:val="auto"/>
              </w:rPr>
            </w:pPr>
            <w:r>
              <w:rPr>
                <w:rFonts w:ascii="Arial" w:cs="Arial" w:eastAsia="Arial" w:hAnsi="Arial"/>
                <w:sz w:val="12"/>
                <w:szCs w:val="12"/>
                <w:color w:val="auto"/>
              </w:rPr>
              <w:t>(Middle)</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gridSpan w:val="5"/>
          </w:tcPr>
          <w:p>
            <w:pPr>
              <w:ind w:left="420"/>
              <w:spacing w:after="0"/>
              <w:rPr>
                <w:sz w:val="20"/>
                <w:szCs w:val="20"/>
                <w:color w:val="auto"/>
              </w:rPr>
            </w:pPr>
            <w:r>
              <w:rPr>
                <w:rFonts w:ascii="Arial" w:cs="Arial" w:eastAsia="Arial" w:hAnsi="Arial"/>
                <w:sz w:val="12"/>
                <w:szCs w:val="12"/>
                <w:color w:val="auto"/>
              </w:rPr>
              <w:t>(Zip)</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9"/>
          </w:tcPr>
          <w:p>
            <w:pPr>
              <w:ind w:left="20"/>
              <w:spacing w:after="0" w:line="211" w:lineRule="exact"/>
              <w:rPr>
                <w:rFonts w:ascii="Times New Roman" w:cs="Times New Roman" w:eastAsia="Times New Roman" w:hAnsi="Times New Roman"/>
                <w:sz w:val="20"/>
                <w:szCs w:val="20"/>
                <w:color w:val="0000EE"/>
                <w:w w:val="97"/>
              </w:rPr>
            </w:pPr>
            <w:hyperlink r:id="rId18">
              <w:r>
                <w:rPr>
                  <w:rFonts w:ascii="Times New Roman" w:cs="Times New Roman" w:eastAsia="Times New Roman" w:hAnsi="Times New Roman"/>
                  <w:sz w:val="20"/>
                  <w:szCs w:val="20"/>
                  <w:color w:val="0000EE"/>
                  <w:w w:val="97"/>
                </w:rPr>
                <w:t>Lightspeed Venture Partners Select II, L.P.</w:t>
              </w:r>
            </w:hyperlink>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gridSpan w:val="5"/>
          </w:tcPr>
          <w:p>
            <w:pPr>
              <w:ind w:left="420"/>
              <w:spacing w:after="0"/>
              <w:rPr>
                <w:sz w:val="20"/>
                <w:szCs w:val="20"/>
                <w:color w:val="auto"/>
              </w:rPr>
            </w:pPr>
            <w:r>
              <w:rPr>
                <w:rFonts w:ascii="Arial" w:cs="Arial" w:eastAsia="Arial" w:hAnsi="Arial"/>
                <w:sz w:val="12"/>
                <w:szCs w:val="12"/>
                <w:color w:val="auto"/>
              </w:rPr>
              <w:t>(Middle)</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gridSpan w:val="5"/>
          </w:tcPr>
          <w:p>
            <w:pPr>
              <w:ind w:left="420"/>
              <w:spacing w:after="0"/>
              <w:rPr>
                <w:sz w:val="20"/>
                <w:szCs w:val="20"/>
                <w:color w:val="auto"/>
              </w:rPr>
            </w:pPr>
            <w:r>
              <w:rPr>
                <w:rFonts w:ascii="Arial" w:cs="Arial" w:eastAsia="Arial" w:hAnsi="Arial"/>
                <w:sz w:val="12"/>
                <w:szCs w:val="12"/>
                <w:color w:val="auto"/>
              </w:rPr>
              <w:t>(Zip)</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9"/>
          </w:tcPr>
          <w:p>
            <w:pPr>
              <w:ind w:left="20"/>
              <w:spacing w:after="0" w:line="211"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Lightspeed General Partner Select II, L.P.</w:t>
              </w:r>
            </w:hyperlink>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gridSpan w:val="5"/>
          </w:tcPr>
          <w:p>
            <w:pPr>
              <w:ind w:left="420"/>
              <w:spacing w:after="0"/>
              <w:rPr>
                <w:sz w:val="20"/>
                <w:szCs w:val="20"/>
                <w:color w:val="auto"/>
              </w:rPr>
            </w:pPr>
            <w:r>
              <w:rPr>
                <w:rFonts w:ascii="Arial" w:cs="Arial" w:eastAsia="Arial" w:hAnsi="Arial"/>
                <w:sz w:val="12"/>
                <w:szCs w:val="12"/>
                <w:color w:val="auto"/>
              </w:rPr>
              <w:t>(Middle)</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188" w:right="359" w:bottom="0" w:gutter="0" w:footer="0" w:header="0"/>
        </w:sectPr>
      </w:pPr>
    </w:p>
    <w:p>
      <w:pPr>
        <w:spacing w:after="0" w:line="86" w:lineRule="exact"/>
        <w:rPr>
          <w:sz w:val="20"/>
          <w:szCs w:val="20"/>
          <w:color w:val="auto"/>
        </w:rPr>
      </w:pPr>
    </w:p>
    <w:p>
      <w:pPr>
        <w:ind w:left="120"/>
        <w:spacing w:after="0"/>
        <w:tabs>
          <w:tab w:leader="none" w:pos="1480" w:val="left"/>
          <w:tab w:leader="none" w:pos="288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188" w:right="359"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6805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08605" cy="6805295"/>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Lightspeed Ultimate General Partner Select II, Ltd.</w:t>
        </w:r>
      </w:hyperlink>
    </w:p>
    <w:p>
      <w:pPr>
        <w:spacing w:after="0" w:line="281" w:lineRule="exact"/>
        <w:rPr>
          <w:sz w:val="20"/>
          <w:szCs w:val="20"/>
          <w:color w:val="auto"/>
        </w:rPr>
      </w:pPr>
    </w:p>
    <w:p>
      <w:pPr>
        <w:ind w:left="100"/>
        <w:spacing w:after="0"/>
        <w:tabs>
          <w:tab w:leader="none" w:pos="1460" w:val="left"/>
          <w:tab w:leader="none" w:pos="286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LIGHTSPEED VENTURE PARTNERS</w:t>
      </w:r>
    </w:p>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2200 SAND HILL ROAD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3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580" w:type="dxa"/>
            <w:vAlign w:val="bottom"/>
            <w:gridSpan w:val="2"/>
          </w:tcPr>
          <w:p>
            <w:pPr>
              <w:ind w:left="18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8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800" w:type="dxa"/>
            <w:vAlign w:val="bottom"/>
            <w:gridSpan w:val="4"/>
          </w:tcPr>
          <w:p>
            <w:pPr>
              <w:ind w:left="20"/>
              <w:spacing w:after="0" w:line="211" w:lineRule="exact"/>
              <w:rPr>
                <w:rFonts w:ascii="Times New Roman" w:cs="Times New Roman" w:eastAsia="Times New Roman" w:hAnsi="Times New Roman"/>
                <w:sz w:val="20"/>
                <w:szCs w:val="20"/>
                <w:color w:val="0000EE"/>
                <w:w w:val="98"/>
              </w:rPr>
            </w:pPr>
            <w:hyperlink r:id="rId22">
              <w:r>
                <w:rPr>
                  <w:rFonts w:ascii="Times New Roman" w:cs="Times New Roman" w:eastAsia="Times New Roman" w:hAnsi="Times New Roman"/>
                  <w:sz w:val="20"/>
                  <w:szCs w:val="20"/>
                  <w:color w:val="0000EE"/>
                  <w:w w:val="98"/>
                </w:rPr>
                <w:t>Lightspeed Opportunity Fund, L.P.</w:t>
              </w:r>
            </w:hyperlink>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top w:val="single" w:sz="8" w:color="0000EE"/>
              <w:bottom w:val="single" w:sz="8" w:color="9A9A9A"/>
            </w:tcBorders>
          </w:tcPr>
          <w:p>
            <w:pPr>
              <w:spacing w:after="0"/>
              <w:rPr>
                <w:sz w:val="13"/>
                <w:szCs w:val="13"/>
                <w:color w:val="auto"/>
              </w:rPr>
            </w:pPr>
          </w:p>
        </w:tc>
        <w:tc>
          <w:tcPr>
            <w:tcW w:w="156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580" w:type="dxa"/>
            <w:vAlign w:val="bottom"/>
            <w:gridSpan w:val="2"/>
          </w:tcPr>
          <w:p>
            <w:pPr>
              <w:ind w:left="180"/>
              <w:spacing w:after="0"/>
              <w:rPr>
                <w:sz w:val="20"/>
                <w:szCs w:val="20"/>
                <w:color w:val="auto"/>
              </w:rPr>
            </w:pPr>
            <w:r>
              <w:rPr>
                <w:rFonts w:ascii="Arial" w:cs="Arial" w:eastAsia="Arial" w:hAnsi="Arial"/>
                <w:sz w:val="12"/>
                <w:szCs w:val="12"/>
                <w:color w:val="auto"/>
              </w:rPr>
              <w:t>(First)</w:t>
            </w:r>
          </w:p>
        </w:tc>
        <w:tc>
          <w:tcPr>
            <w:tcW w:w="146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42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8"/>
        </w:trPr>
        <w:tc>
          <w:tcPr>
            <w:tcW w:w="80" w:type="dxa"/>
            <w:vAlign w:val="bottom"/>
          </w:tcPr>
          <w:p>
            <w:pPr>
              <w:spacing w:after="0"/>
              <w:rPr>
                <w:sz w:val="21"/>
                <w:szCs w:val="21"/>
                <w:color w:val="auto"/>
              </w:rPr>
            </w:pPr>
          </w:p>
        </w:tc>
        <w:tc>
          <w:tcPr>
            <w:tcW w:w="2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3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580" w:type="dxa"/>
            <w:vAlign w:val="bottom"/>
            <w:gridSpan w:val="2"/>
          </w:tcPr>
          <w:p>
            <w:pPr>
              <w:ind w:left="18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Lightspeed General Partner Opportunity Fund, L.P.</w:t>
        </w:r>
      </w:hyperlink>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(Last)</w:t>
            </w:r>
          </w:p>
        </w:tc>
        <w:tc>
          <w:tcPr>
            <w:tcW w:w="1080" w:type="dxa"/>
            <w:vAlign w:val="bottom"/>
          </w:tcPr>
          <w:p>
            <w:pPr>
              <w:ind w:left="180"/>
              <w:spacing w:after="0"/>
              <w:rPr>
                <w:sz w:val="20"/>
                <w:szCs w:val="20"/>
                <w:color w:val="auto"/>
              </w:rPr>
            </w:pPr>
            <w:r>
              <w:rPr>
                <w:rFonts w:ascii="Arial" w:cs="Arial" w:eastAsia="Arial" w:hAnsi="Arial"/>
                <w:sz w:val="12"/>
                <w:szCs w:val="12"/>
                <w:color w:val="auto"/>
              </w:rPr>
              <w:t>(First)</w:t>
            </w:r>
          </w:p>
        </w:tc>
        <w:tc>
          <w:tcPr>
            <w:tcW w:w="1880" w:type="dxa"/>
            <w:vAlign w:val="bottom"/>
          </w:tcPr>
          <w:p>
            <w:pPr>
              <w:ind w:left="50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8"/>
        </w:trPr>
        <w:tc>
          <w:tcPr>
            <w:tcW w:w="20" w:type="dxa"/>
            <w:vAlign w:val="bottom"/>
          </w:tcPr>
          <w:p>
            <w:pPr>
              <w:spacing w:after="0"/>
              <w:rPr>
                <w:sz w:val="21"/>
                <w:szCs w:val="21"/>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188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50"/>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94025</w:t>
            </w: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180"/>
              <w:spacing w:after="0"/>
              <w:rPr>
                <w:sz w:val="20"/>
                <w:szCs w:val="20"/>
                <w:color w:val="auto"/>
              </w:rPr>
            </w:pPr>
            <w:r>
              <w:rPr>
                <w:rFonts w:ascii="Arial" w:cs="Arial" w:eastAsia="Arial" w:hAnsi="Arial"/>
                <w:sz w:val="12"/>
                <w:szCs w:val="12"/>
                <w:color w:val="auto"/>
              </w:rPr>
              <w:t>(State)</w:t>
            </w:r>
          </w:p>
        </w:tc>
        <w:tc>
          <w:tcPr>
            <w:tcW w:w="1880" w:type="dxa"/>
            <w:vAlign w:val="bottom"/>
          </w:tcPr>
          <w:p>
            <w:pPr>
              <w:ind w:left="50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line="232" w:lineRule="auto"/>
        <w:rPr>
          <w:rFonts w:ascii="Times New Roman" w:cs="Times New Roman" w:eastAsia="Times New Roman" w:hAnsi="Times New Roman"/>
          <w:sz w:val="20"/>
          <w:szCs w:val="20"/>
          <w:u w:val="single" w:color="auto"/>
          <w:color w:val="0000EE"/>
        </w:rPr>
      </w:pPr>
      <w:hyperlink r:id="rId24">
        <w:r>
          <w:rPr>
            <w:rFonts w:ascii="Times New Roman" w:cs="Times New Roman" w:eastAsia="Times New Roman" w:hAnsi="Times New Roman"/>
            <w:sz w:val="20"/>
            <w:szCs w:val="20"/>
            <w:u w:val="single" w:color="auto"/>
            <w:color w:val="0000EE"/>
          </w:rPr>
          <w:t>Lightspeed Ultimate General Partner Opportunity</w:t>
        </w:r>
      </w:hyperlink>
    </w:p>
    <w:p>
      <w:pPr>
        <w:spacing w:after="0" w:line="1" w:lineRule="exact"/>
        <w:rPr>
          <w:sz w:val="20"/>
          <w:szCs w:val="20"/>
          <w:color w:val="auto"/>
        </w:rPr>
      </w:pPr>
    </w:p>
    <w:p>
      <w:pPr>
        <w:ind w:left="100"/>
        <w:spacing w:after="0"/>
        <w:rPr>
          <w:rFonts w:ascii="Times New Roman" w:cs="Times New Roman" w:eastAsia="Times New Roman" w:hAnsi="Times New Roman"/>
          <w:sz w:val="20"/>
          <w:szCs w:val="20"/>
          <w:u w:val="single" w:color="auto"/>
          <w:color w:val="0000EE"/>
        </w:rPr>
      </w:pPr>
      <w:hyperlink r:id="rId24">
        <w:r>
          <w:rPr>
            <w:rFonts w:ascii="Times New Roman" w:cs="Times New Roman" w:eastAsia="Times New Roman" w:hAnsi="Times New Roman"/>
            <w:sz w:val="20"/>
            <w:szCs w:val="20"/>
            <w:u w:val="single" w:color="auto"/>
            <w:color w:val="0000EE"/>
          </w:rPr>
          <w:t>Fund, Ltd.</w:t>
        </w:r>
      </w:hyperlink>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(Last)</w:t>
            </w:r>
          </w:p>
        </w:tc>
        <w:tc>
          <w:tcPr>
            <w:tcW w:w="1080" w:type="dxa"/>
            <w:vAlign w:val="bottom"/>
          </w:tcPr>
          <w:p>
            <w:pPr>
              <w:ind w:left="180"/>
              <w:spacing w:after="0"/>
              <w:rPr>
                <w:sz w:val="20"/>
                <w:szCs w:val="20"/>
                <w:color w:val="auto"/>
              </w:rPr>
            </w:pPr>
            <w:r>
              <w:rPr>
                <w:rFonts w:ascii="Arial" w:cs="Arial" w:eastAsia="Arial" w:hAnsi="Arial"/>
                <w:sz w:val="12"/>
                <w:szCs w:val="12"/>
                <w:color w:val="auto"/>
              </w:rPr>
              <w:t>(First)</w:t>
            </w:r>
          </w:p>
        </w:tc>
        <w:tc>
          <w:tcPr>
            <w:tcW w:w="1880" w:type="dxa"/>
            <w:vAlign w:val="bottom"/>
          </w:tcPr>
          <w:p>
            <w:pPr>
              <w:ind w:left="50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8"/>
        </w:trPr>
        <w:tc>
          <w:tcPr>
            <w:tcW w:w="20" w:type="dxa"/>
            <w:vAlign w:val="bottom"/>
          </w:tcPr>
          <w:p>
            <w:pPr>
              <w:spacing w:after="0"/>
              <w:rPr>
                <w:sz w:val="21"/>
                <w:szCs w:val="21"/>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188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50"/>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94025</w:t>
            </w: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180"/>
              <w:spacing w:after="0"/>
              <w:rPr>
                <w:sz w:val="20"/>
                <w:szCs w:val="20"/>
                <w:color w:val="auto"/>
              </w:rPr>
            </w:pPr>
            <w:r>
              <w:rPr>
                <w:rFonts w:ascii="Arial" w:cs="Arial" w:eastAsia="Arial" w:hAnsi="Arial"/>
                <w:sz w:val="12"/>
                <w:szCs w:val="12"/>
                <w:color w:val="auto"/>
              </w:rPr>
              <w:t>(State)</w:t>
            </w:r>
          </w:p>
        </w:tc>
        <w:tc>
          <w:tcPr>
            <w:tcW w:w="1880" w:type="dxa"/>
            <w:vAlign w:val="bottom"/>
          </w:tcPr>
          <w:p>
            <w:pPr>
              <w:ind w:left="50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was converted into one share of Class A Common Stock for no additional consideration.</w:t>
      </w:r>
    </w:p>
    <w:p>
      <w:pPr>
        <w:spacing w:after="0" w:line="47" w:lineRule="exact"/>
        <w:rPr>
          <w:rFonts w:ascii="Times New Roman" w:cs="Times New Roman" w:eastAsia="Times New Roman" w:hAnsi="Times New Roman"/>
          <w:sz w:val="12"/>
          <w:szCs w:val="12"/>
          <w:color w:val="008000"/>
        </w:rPr>
      </w:pPr>
    </w:p>
    <w:p>
      <w:pPr>
        <w:ind w:left="20" w:right="40" w:hanging="4"/>
        <w:spacing w:after="0" w:line="25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p>
      <w:pPr>
        <w:spacing w:after="0" w:line="16" w:lineRule="exact"/>
        <w:rPr>
          <w:rFonts w:ascii="Times New Roman" w:cs="Times New Roman" w:eastAsia="Times New Roman" w:hAnsi="Times New Roman"/>
          <w:sz w:val="12"/>
          <w:szCs w:val="12"/>
          <w:color w:val="008000"/>
        </w:rPr>
      </w:pPr>
    </w:p>
    <w:p>
      <w:pPr>
        <w:ind w:left="20" w:right="60" w:hanging="4"/>
        <w:spacing w:after="0" w:line="261"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$8.71 to $9.495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57" w:lineRule="exact"/>
        <w:rPr>
          <w:rFonts w:ascii="Times New Roman" w:cs="Times New Roman" w:eastAsia="Times New Roman" w:hAnsi="Times New Roman"/>
          <w:sz w:val="12"/>
          <w:szCs w:val="12"/>
          <w:color w:val="008000"/>
        </w:rPr>
      </w:pPr>
    </w:p>
    <w:p>
      <w:pPr>
        <w:ind w:left="20" w:right="60" w:hanging="4"/>
        <w:spacing w:after="0" w:line="261"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$8.785 to $9.44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57" w:lineRule="exact"/>
        <w:rPr>
          <w:rFonts w:ascii="Times New Roman" w:cs="Times New Roman" w:eastAsia="Times New Roman" w:hAnsi="Times New Roman"/>
          <w:sz w:val="12"/>
          <w:szCs w:val="12"/>
          <w:color w:val="008000"/>
        </w:rPr>
      </w:pPr>
    </w:p>
    <w:p>
      <w:pPr>
        <w:ind w:left="2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into one share of Class A Common Stock (A) at any time at the option of the holder or (B) automatically on September 19, 2035 as set forth in the Issuer's amended and restated certificate of incorporation.</w:t>
      </w:r>
    </w:p>
    <w:p>
      <w:pPr>
        <w:spacing w:after="0" w:line="5" w:lineRule="exact"/>
        <w:rPr>
          <w:rFonts w:ascii="Times New Roman" w:cs="Times New Roman" w:eastAsia="Times New Roman" w:hAnsi="Times New Roman"/>
          <w:sz w:val="12"/>
          <w:szCs w:val="12"/>
          <w:color w:val="008000"/>
        </w:rPr>
      </w:pPr>
    </w:p>
    <w:p>
      <w:pPr>
        <w:ind w:left="20" w:right="34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IX, L.P. ("Lightspeed IX"). Lightspeed General Partner IX, L.P. ("LGP IX") is the general partner of Lightspeed IX. Lightspeed Ultimate General Partner IX, Ltd. ("LUGP IX") is the general partner of LGP IX. Each of LGP IX and LUGP IX disclaims beneficial ownership of these shares except to the extent of its respective pecuniary interest therein.</w:t>
      </w:r>
    </w:p>
    <w:p>
      <w:pPr>
        <w:spacing w:after="0" w:line="5" w:lineRule="exact"/>
        <w:rPr>
          <w:rFonts w:ascii="Times New Roman" w:cs="Times New Roman" w:eastAsia="Times New Roman" w:hAnsi="Times New Roman"/>
          <w:sz w:val="12"/>
          <w:szCs w:val="12"/>
          <w:color w:val="008000"/>
        </w:rPr>
      </w:pPr>
    </w:p>
    <w:p>
      <w:pPr>
        <w:ind w:left="20" w:right="10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XII, L.P. ("Lightspeed XII"). Lightspeed General Partner XII, L.P. ("LGP XII") is the general partner of Lightspeed XII. Lightspeed Ultimate General Partner XII, Ltd. ("LUGP XII") is the general partner of LGP XII. Each of LGP XII and LUGP XII disclaims beneficial ownership of these shares except to the extent of its respective pecuniary interest therein.</w:t>
      </w:r>
    </w:p>
    <w:p>
      <w:pPr>
        <w:spacing w:after="0" w:line="5" w:lineRule="exact"/>
        <w:rPr>
          <w:rFonts w:ascii="Times New Roman" w:cs="Times New Roman" w:eastAsia="Times New Roman" w:hAnsi="Times New Roman"/>
          <w:sz w:val="12"/>
          <w:szCs w:val="12"/>
          <w:color w:val="008000"/>
        </w:rPr>
      </w:pPr>
    </w:p>
    <w:p>
      <w:pPr>
        <w:ind w:left="20" w:right="10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SPV II, LLC ("Lightspeed SPV II"). LS SPV Management, LLC ("LS SPV") is the manager of Lightspeed SPV II. LS SPV disclaims beneficial ownership of these shares except to the extent of its pecuniary interest therein.</w:t>
      </w:r>
    </w:p>
    <w:p>
      <w:pPr>
        <w:spacing w:after="0" w:line="5" w:lineRule="exact"/>
        <w:rPr>
          <w:rFonts w:ascii="Times New Roman" w:cs="Times New Roman" w:eastAsia="Times New Roman" w:hAnsi="Times New Roman"/>
          <w:sz w:val="12"/>
          <w:szCs w:val="12"/>
          <w:color w:val="008000"/>
        </w:rPr>
      </w:pPr>
    </w:p>
    <w:p>
      <w:pPr>
        <w:ind w:left="20" w:right="18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SPV II-B, LLC ("Lightspeed SPV II-B"). LS SPV is the manager of Lightspeed SPV II-B. LS SPV disclaims beneficial ownership of these shares except to the extent of its pecuniary interest therein.</w:t>
      </w:r>
    </w:p>
    <w:p>
      <w:pPr>
        <w:spacing w:after="0" w:line="5" w:lineRule="exact"/>
        <w:rPr>
          <w:rFonts w:ascii="Times New Roman" w:cs="Times New Roman" w:eastAsia="Times New Roman" w:hAnsi="Times New Roman"/>
          <w:sz w:val="12"/>
          <w:szCs w:val="12"/>
          <w:color w:val="008000"/>
        </w:rPr>
      </w:pPr>
    </w:p>
    <w:p>
      <w:pPr>
        <w:jc w:val="both"/>
        <w:ind w:left="20" w:right="240" w:hanging="4"/>
        <w:spacing w:after="0" w:line="25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Select, L.P. ("Lightspeed Select"). Lightspeed General Partner Select, L.P. ("LGP Select") is the general partner of Lightspeed Select. Lightspeed Ultimate General Partner Select, Ltd. ("LUGP Select") is the general partner of LGP Select. Each of LGP Select and LUGP Select disclaims beneficial ownership of these shares except to the extent of its respective pecuniary interest therein.</w:t>
      </w:r>
    </w:p>
    <w:p>
      <w:pPr>
        <w:spacing w:after="0" w:line="16" w:lineRule="exact"/>
        <w:rPr>
          <w:rFonts w:ascii="Times New Roman" w:cs="Times New Roman" w:eastAsia="Times New Roman" w:hAnsi="Times New Roman"/>
          <w:sz w:val="12"/>
          <w:szCs w:val="12"/>
          <w:color w:val="008000"/>
        </w:rPr>
      </w:pPr>
    </w:p>
    <w:p>
      <w:pPr>
        <w:ind w:left="20" w:right="100" w:hanging="4"/>
        <w:spacing w:after="0" w:line="256" w:lineRule="auto"/>
        <w:tabs>
          <w:tab w:leader="none" w:pos="20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Select II, L.P.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p>
      <w:pPr>
        <w:spacing w:after="0" w:line="16" w:lineRule="exact"/>
        <w:rPr>
          <w:rFonts w:ascii="Times New Roman" w:cs="Times New Roman" w:eastAsia="Times New Roman" w:hAnsi="Times New Roman"/>
          <w:sz w:val="12"/>
          <w:szCs w:val="12"/>
          <w:color w:val="008000"/>
        </w:rPr>
      </w:pPr>
    </w:p>
    <w:p>
      <w:pPr>
        <w:ind w:left="20" w:right="20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LSS Fund II, LLC ("LSS Fund II"). Lightspeed Scout Management, LLC ("Scout Mgmt") is the manager of LSS Fund II. Each of the Reporting Persons disclaims beneficial ownership of these shares except to the extent of its respective pecuniary interest therein.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0"/>
          <w:szCs w:val="20"/>
          <w:color w:val="auto"/>
        </w:rPr>
      </w:pPr>
    </w:p>
    <w:p>
      <w:pPr>
        <w:ind w:left="20" w:right="40"/>
        <w:spacing w:after="0" w:line="244" w:lineRule="auto"/>
        <w:rPr>
          <w:sz w:val="20"/>
          <w:szCs w:val="20"/>
          <w:color w:val="auto"/>
        </w:rPr>
      </w:pPr>
      <w:r>
        <w:rPr>
          <w:rFonts w:ascii="Times New Roman" w:cs="Times New Roman" w:eastAsia="Times New Roman" w:hAnsi="Times New Roman"/>
          <w:sz w:val="12"/>
          <w:szCs w:val="12"/>
          <w:color w:val="008000"/>
        </w:rPr>
        <w:t>This Form 4 is the second of two Forms 4 filed relating to the same events. Combined, the two Form 4s report the holdings for the following Reporting Persons: Lightspeed Venture Partners IX, L.P., Lightspeed General Partner IX, L.P., Lightspeed Ultimate General Partner IX, Ltd., Lightspeed Venture Partners XII, L.P., Lightspeed General Partner XII, L.P., Lightspeed Ultimate General Partner XII, Ltd., Lightspeed SPV II, LLC, Lightspeed SPV II-B, LLC, LS SPV Management, LLC, Lightspeed Venture Partners Select, L.P., Lightspeed General Partner Select, L.P., Lightspeed Ultimate General Partner Select, Ltd., Lightspeed Venture Partners Select II, L.P., Lightspeed General Partner Select II, L.P., Lightspeed Ultimate General Partner Select II, Ltd., Lightspeed Opportunity Fund, L.P., Lightspeed General Partner Opportunity Fund, L.P. and Lightspeed Ultimate General Partner Opportunity Fund, Ltd. This Form 4 has been split into two filings because there are more than 10 reporting persons in total, and the SEC's EDGAR filing system limits a single Form 4 to a maximum of 10 reporting persons.</w:t>
      </w:r>
    </w:p>
    <w:p>
      <w:pPr>
        <w:sectPr>
          <w:pgSz w:w="11900" w:h="16838" w:orient="portrait"/>
          <w:cols w:equalWidth="0" w:num="1">
            <w:col w:w="10880"/>
          </w:cols>
          <w:pgMar w:left="480" w:top="191" w:right="539" w:bottom="0" w:gutter="0" w:footer="0" w:header="0"/>
        </w:sectPr>
      </w:pPr>
    </w:p>
    <w:bookmarkStart w:id="3" w:name="page4"/>
    <w:bookmarkEnd w:id="3"/>
    <w:p>
      <w:pPr>
        <w:ind w:left="6564"/>
        <w:spacing w:after="0"/>
        <w:rPr>
          <w:sz w:val="20"/>
          <w:szCs w:val="20"/>
          <w:color w:val="auto"/>
        </w:rPr>
      </w:pPr>
      <w:r>
        <w:rPr>
          <w:rFonts w:ascii="Times New Roman" w:cs="Times New Roman" w:eastAsia="Times New Roman" w:hAnsi="Times New Roman"/>
          <w:sz w:val="16"/>
          <w:szCs w:val="16"/>
          <w:color w:val="0000FF"/>
        </w:rPr>
        <w:t>Lightspeed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1576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15760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Select,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385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1385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Select,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769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7698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3182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Ultimate General Partner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3277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Ltd.,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7317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7317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9055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905510"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1239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2395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Select,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385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385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Ultimate General Partner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32778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Ltd.,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7317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7317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9055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905510"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1861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8618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Partner Select, Ltd.,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998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6864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1576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5760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Select 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319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Select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484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484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96075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9607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861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861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Select II,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02997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02997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5125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6864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1239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2395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Select 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319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Ultimate General Partner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30238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0238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II, 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700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0274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027430"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18618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8618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Partner Select II,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7475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7475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9055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905510"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2401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4015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L.P., 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8618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1861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Opportunity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9159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9607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9607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8618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861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Opportunity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30048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3004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its 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7317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7317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68643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12395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2395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Opportunity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4427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4427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8618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1861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Opportunity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30048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004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its 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7317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7317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68643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18618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8618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Partner Opportunity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3004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3004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By /s/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722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17221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664" w:space="100"/>
            <w:col w:w="1199"/>
          </w:cols>
          <w:pgMar w:left="496" w:top="127" w:right="1440" w:bottom="1440" w:gutter="0" w:footer="0" w:header="0"/>
        </w:sect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819" w:hanging="4"/>
        <w:spacing w:after="0" w:line="32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13" Type="http://schemas.openxmlformats.org/officeDocument/2006/relationships/hyperlink" Target="http://www.sec.gov/cgi-bin/browse-edgar?action=getcompany&amp;CIK=0001602575" TargetMode="External"/><Relationship Id="rId14" Type="http://schemas.openxmlformats.org/officeDocument/2006/relationships/hyperlink" Target="http://www.sec.gov/cgi-bin/browse-edgar?action=getcompany&amp;CIK=0002063196" TargetMode="External"/><Relationship Id="rId16" Type="http://schemas.openxmlformats.org/officeDocument/2006/relationships/hyperlink" Target="http://www.sec.gov/cgi-bin/browse-edgar?action=getcompany&amp;CIK=0001700551" TargetMode="External"/><Relationship Id="rId17" Type="http://schemas.openxmlformats.org/officeDocument/2006/relationships/hyperlink" Target="http://www.sec.gov/cgi-bin/browse-edgar?action=getcompany&amp;CIK=0001700544" TargetMode="External"/><Relationship Id="rId18" Type="http://schemas.openxmlformats.org/officeDocument/2006/relationships/hyperlink" Target="http://www.sec.gov/cgi-bin/browse-edgar?action=getcompany&amp;CIK=0001668017" TargetMode="External"/><Relationship Id="rId19" Type="http://schemas.openxmlformats.org/officeDocument/2006/relationships/hyperlink" Target="http://www.sec.gov/cgi-bin/browse-edgar?action=getcompany&amp;CIK=0001744936" TargetMode="External"/><Relationship Id="rId21" Type="http://schemas.openxmlformats.org/officeDocument/2006/relationships/hyperlink" Target="http://www.sec.gov/cgi-bin/browse-edgar?action=getcompany&amp;CIK=0001744937" TargetMode="External"/><Relationship Id="rId22" Type="http://schemas.openxmlformats.org/officeDocument/2006/relationships/hyperlink" Target="http://www.sec.gov/cgi-bin/browse-edgar?action=getcompany&amp;CIK=0001780948" TargetMode="External"/><Relationship Id="rId23" Type="http://schemas.openxmlformats.org/officeDocument/2006/relationships/hyperlink" Target="http://www.sec.gov/cgi-bin/browse-edgar?action=getcompany&amp;CIK=0001980478" TargetMode="External"/><Relationship Id="rId24" Type="http://schemas.openxmlformats.org/officeDocument/2006/relationships/hyperlink" Target="http://www.sec.gov/cgi-bin/browse-edgar?action=getcompany&amp;CIK=0001980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2026-06-16T17:52:39Z</dcterms:created>
  <dcterms:modified xsi:type="dcterms:W3CDTF">2026-06-16T17:52:39Z</dcterms:modified>
</cp:coreProperties>
</file>