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ICONIQ STRATEGIC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09"/>
        <w:gridCol w:w="780"/>
        <w:gridCol w:w="603"/>
        <w:gridCol w:w="337"/>
        <w:gridCol w:w="1142"/>
        <w:gridCol w:w="418"/>
        <w:gridCol w:w="583"/>
        <w:gridCol w:w="1335"/>
        <w:gridCol w:w="957"/>
        <w:gridCol w:w="11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3,085,037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6,999,211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2,414,963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5,478,971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916,690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1,167,115</w:t>
            </w:r>
            <w:r>
              <w:rPr>
                <w:rFonts w:ascii="Times;serif" w:hAnsi="Times;serif"/>
                <w:color w:val="008000"/>
                <w:position w:val="7"/>
                <w:sz w:val="16"/>
                <w:sz w:val="20"/>
                <w:shd w:fill="FFFFFF" w:val="clear"/>
              </w:rPr>
              <w:t>(5)</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(5)</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Divesh Makan</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343,376</w:t>
            </w:r>
            <w:r>
              <w:rPr>
                <w:rFonts w:ascii="Times;serif" w:hAnsi="Times;serif"/>
                <w:color w:val="008000"/>
                <w:position w:val="7"/>
                <w:sz w:val="16"/>
                <w:sz w:val="20"/>
                <w:shd w:fill="FFFFFF" w:val="clear"/>
              </w:rPr>
              <w:t>(6)</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(6)</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Matthew Jacobson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ICONIQ STRATEGIC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ICONIQ STRATEGIC PARTNERS II-B,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ICONIQ Strategic Partners 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ICONIQ Strategic Partners II TT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Makan Divesh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Jacobson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22, 2026, ICONIQ Strategic Partners II, L.P. distributed, for no consideration, in the aggregate 3,085,037 shares of the Issuer's Class A Common Stock (the "ICONIQ II Shares") to its limited partners and to ICONIQ Strategic Partners II GP, L.P. ("ICONIQ GP II"), representing each such partner's pro rata interest in such ICONIQ II Shares. On the same date, ICONIQ GP II distributed, for no consideration, the ICONIQ II Shares it received in the distribution by ICONIQ II to its partners, representing each such partner's pro rata interest in such ICONIQ II Shares. All of the aforementioned distributions were made in accordance with the exemptions afforded by Rules 16a-13 and 16a-9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William J.G. Griffith are the sole equity holders of ICONIQ Parent GP II and the sole managing members of ICONIQ Parent GP VIII, and Divesh Makan, William J.G. Griffith and Matthew Jacobson are the sole equity holders of ICONIQ Parent GP VI. Each of ICONIQ GP II, ICONIQ Parent GP II, ICONIQ GP VI, ICONIQ Parent GP VI, ICONIQ GP VIII, ICONIQ Parent GP VIII and Messrs. Makan, Griffith and Jacobson disclaims beneficial ownership of the securities reported herein for purposes of Section 16 of the Exchange Act, except to the extent of its or his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22, 2026, ICONIQ Strategic Partners II-B, L.P. distributed, for no consideration, in the aggregate 2,414,963 shares of the Issuer's Class A Common Stock (the "ICONIQ II-B Shares") to its limited partners and to ICONIQ GP II, representing each such partner's pro rata interest in such ICONIQ II-B Shares. On the same date, ICONIQ GP II distributed, for no consideration, the ICONIQ II-B Shares it received in the distribution by ICONIQ II-B to its partners, representing each such partner's pro rata interest in such ICONIQ II-B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Makan through his family trust of which he is a trustee and another estate planning trust having an independent trustee. Includes an aggregate of 583,558 ICONIQ II Shares and ICONIQ II-B Shares received in the distributions described herein. Makan disclaims beneficial ownership of the shares held by such trusts for purposes of Section 16 of the Exchange Act, except to the extent of his pecuniary interest therein, if any. This report shall not be deemed an admission that Makan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Jacobson through a trust of which he is a trustee. Includes an aggregate of 171,688 ICONIQ II Shares and ICONIQ II-B Shares received in the distributions described herein. Jacobson disclaims beneficial ownership of the shares held by such trust for purposes of Section 16 of the Exchange Act, except to the extent of his pecuniary interest therein, if any. This report shall not be deemed an admission that Jacobson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 L.P., By: ICONIQ Strategic Partners II GP, L.P., By: 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II-B, L.P., By: ICONIQ Strategic Partners II GP, L.P., By: 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 GP, L.P., By: 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Divesh Makan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Jacobson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9710"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19710" TargetMode="External"/><Relationship Id="rId9" Type="http://schemas.openxmlformats.org/officeDocument/2006/relationships/hyperlink" Target="http://www.sec.gov/cgi-bin/browse-edgar?action=getcompany&amp;CIK=0001619682" TargetMode="External"/><Relationship Id="rId10" Type="http://schemas.openxmlformats.org/officeDocument/2006/relationships/hyperlink" Target="http://www.sec.gov/cgi-bin/browse-edgar?action=getcompany&amp;CIK=0001702932" TargetMode="External"/><Relationship Id="rId11" Type="http://schemas.openxmlformats.org/officeDocument/2006/relationships/hyperlink" Target="http://www.sec.gov/cgi-bin/browse-edgar?action=getcompany&amp;CIK=0001702831" TargetMode="External"/><Relationship Id="rId12" Type="http://schemas.openxmlformats.org/officeDocument/2006/relationships/hyperlink" Target="http://www.sec.gov/cgi-bin/browse-edgar?action=getcompany&amp;CIK=0001688143" TargetMode="External"/><Relationship Id="rId13" Type="http://schemas.openxmlformats.org/officeDocument/2006/relationships/hyperlink" Target="http://www.sec.gov/cgi-bin/browse-edgar?action=getcompany&amp;CIK=000178351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1681</Words>
  <Characters>8812</Characters>
  <CharactersWithSpaces>10290</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