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320" w:right="20"/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-184785</wp:posOffset>
            </wp:positionV>
            <wp:extent cx="114300" cy="1143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2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-537845</wp:posOffset>
            </wp:positionV>
            <wp:extent cx="114300" cy="1143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6080" w:type="dxa"/>
            <w:vAlign w:val="bottom"/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080" w:type="dxa"/>
            <w:vAlign w:val="bottom"/>
            <w:vMerge w:val="restart"/>
          </w:tcPr>
          <w:p>
            <w:pPr>
              <w:jc w:val="center"/>
              <w:ind w:right="38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80" w:type="dxa"/>
            <w:vAlign w:val="bottom"/>
            <w:vMerge w:val="restart"/>
          </w:tcPr>
          <w:p>
            <w:pPr>
              <w:jc w:val="center"/>
              <w:ind w:right="382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080" w:type="dxa"/>
            <w:vAlign w:val="bottom"/>
            <w:vMerge w:val="restart"/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5135880</wp:posOffset>
            </wp:positionH>
            <wp:positionV relativeFrom="paragraph">
              <wp:posOffset>-584200</wp:posOffset>
            </wp:positionV>
            <wp:extent cx="55880" cy="5975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3846830</wp:posOffset>
            </wp:positionH>
            <wp:positionV relativeFrom="paragraph">
              <wp:posOffset>-584200</wp:posOffset>
            </wp:positionV>
            <wp:extent cx="55880" cy="597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-1779905</wp:posOffset>
            </wp:positionH>
            <wp:positionV relativeFrom="paragraph">
              <wp:posOffset>616585</wp:posOffset>
            </wp:positionV>
            <wp:extent cx="7002780" cy="51879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78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80"/>
            <w:col w:w="8300"/>
          </w:cols>
          <w:pgMar w:left="460" w:top="210" w:right="35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9"/>
          <w:szCs w:val="19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Beri Sanjay</w:t>
        </w:r>
      </w:hyperlink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NETSKOPE, INC.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2445 AUGUSTINE DRIVE, SUITE 301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Netskope Inc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NTSK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820" w:firstLine="10"/>
        <w:spacing w:after="0" w:line="265" w:lineRule="auto"/>
        <w:tabs>
          <w:tab w:leader="none" w:pos="12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50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7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CEO and Chairman</w:t>
      </w:r>
    </w:p>
    <w:p>
      <w:pPr>
        <w:spacing w:after="0" w:line="5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0" w:right="359" w:bottom="1440" w:gutter="0" w:footer="0" w:header="0"/>
          <w:type w:val="continuous"/>
        </w:sectPr>
      </w:pP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1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SANTA CLARA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95054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2. Transaction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440" w:type="dxa"/>
            <w:vAlign w:val="bottom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(Instr.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3"/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780" w:type="dxa"/>
            <w:vAlign w:val="bottom"/>
            <w:gridSpan w:val="10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10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4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564,270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04/01/2026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left="24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564,270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4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4,822,340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451,417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04/01/2026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left="24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451,417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4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6,771,246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1,015,687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04/01/2026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1,015,687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4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2,047,883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ind w:lef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561,475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1"/>
                <w:vertAlign w:val="superscript"/>
              </w:rPr>
              <w:t>(7)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561,475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04/01/2026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89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8.49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4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1,486,408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22,288,889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26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22,288,889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4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5"/>
                <w:szCs w:val="5"/>
                <w:color w:val="008000"/>
                <w:vertAlign w:val="superscript"/>
              </w:rPr>
              <w:t>(8)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7007860</wp:posOffset>
            </wp:positionH>
            <wp:positionV relativeFrom="paragraph">
              <wp:posOffset>-2726690</wp:posOffset>
            </wp:positionV>
            <wp:extent cx="27940" cy="27324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" cy="2732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60" w:hanging="12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RSU represents a contingent right to receive one share of Class B Common Stock.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Settlement of the vested RSUs was deferred until April 1, 2026..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remaining RSUs vest in 42 equal monthly installments beginning on April 19, 2026.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remaining RSUs vest in 15 equal quarterly installments beginning on July 1, 2026.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share of Class B Common Stock is convertible into one share of Class A Common Stock at the option of the holder.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of Class B Common Stock automatically convert to shares of Class A Common Stock on a 1:1 basis on or prior to September 19, 2035 as set forth in the Issuer's amended and restated certificate of incorporation.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were withheld to satisfy the reporting person's tax liability in connection with the vesting of RSUs.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are held of record by the 2012 Sanjay Beri and Ava Malla Revocable Trust for which the reporting person serves as trustee.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/s/ James Bushnell, by power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04/03/2026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520" w:type="dxa"/>
            <w:vAlign w:val="bottom"/>
            <w:vMerge w:val="restart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attorney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4120" w:hanging="8"/>
        <w:spacing w:after="0" w:line="341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3367" TargetMode="External"/><Relationship Id="rId14" Type="http://schemas.openxmlformats.org/officeDocument/2006/relationships/hyperlink" Target="http://www.sec.gov/cgi-bin/browse-edgar?action=getcompany&amp;CIK=00020631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2026-04-03T16:07:56Z</dcterms:created>
  <dcterms:modified xsi:type="dcterms:W3CDTF">2026-04-03T16:07:56Z</dcterms:modified>
</cp:coreProperties>
</file>