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Griffith William J.G.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 STE.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Netskope Inc</w:t>
              </w:r>
            </w:hyperlink>
            <w:r>
              <w:rPr/>
              <w:t xml:space="preserve"> [ </w:t>
            </w:r>
            <w:r>
              <w:rPr>
                <w:rFonts w:ascii="Times;serif" w:hAnsi="Times;serif"/>
                <w:color w:val="0000FF"/>
                <w:sz w:val="24"/>
                <w:shd w:fill="FFFFFF" w:val="clear"/>
              </w:rPr>
              <w:t>NTSK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24"/>
        <w:gridCol w:w="905"/>
        <w:gridCol w:w="778"/>
        <w:gridCol w:w="601"/>
        <w:gridCol w:w="330"/>
        <w:gridCol w:w="984"/>
        <w:gridCol w:w="401"/>
        <w:gridCol w:w="981"/>
        <w:gridCol w:w="1314"/>
        <w:gridCol w:w="935"/>
        <w:gridCol w:w="11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241,628</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12.255</w:t>
            </w:r>
            <w:r>
              <w:rPr>
                <w:rFonts w:ascii="Times;serif" w:hAnsi="Times;serif"/>
                <w:color w:val="008000"/>
                <w:position w:val="7"/>
                <w:sz w:val="16"/>
                <w:sz w:val="20"/>
                <w:shd w:fill="FFFFFF" w:val="clear"/>
              </w:rPr>
              <w:t>(1)</w:t>
            </w:r>
            <w:r>
              <w:rPr/>
              <w:t xml:space="preserve"> </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851,919</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VIII Holdings, L.P.</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64,771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12.4214</w:t>
            </w:r>
            <w:r>
              <w:rPr>
                <w:rFonts w:ascii="Times;serif" w:hAnsi="Times;serif"/>
                <w:color w:val="008000"/>
                <w:position w:val="7"/>
                <w:sz w:val="16"/>
                <w:sz w:val="20"/>
                <w:shd w:fill="FFFFFF" w:val="clear"/>
              </w:rPr>
              <w:t>(4)</w:t>
            </w:r>
            <w:r>
              <w:rPr/>
              <w:t xml:space="preserve"> </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916,690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VIII Holdings, L.P.</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8,723,318</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 L.P.</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12,854,199</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VI-B, L.P.</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18,872,434</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 Co-Invest, L.P. (Series NS)</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13,169,285</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 L.P.</w:t>
            </w:r>
          </w:p>
        </w:tc>
      </w:tr>
      <w:tr>
        <w:trPr/>
        <w:tc>
          <w:tcPr>
            <w:tcW w:w="18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10,308,897</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II-B, L.P.</w:t>
            </w:r>
          </w:p>
        </w:tc>
      </w:tr>
      <w:tr>
        <w:trPr/>
        <w:tc>
          <w:tcPr>
            <w:tcW w:w="18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2,339,380</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 Co-Invest, L.P. (Series NS)</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$12.17 to $12.30. Full information regarding the number of shares purchased at each separate price can be furnished to the SEC staff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ICONIQ Strategic Partners II GP, L.P. ("ICONIQ GP II") is the sole general partner of ICONIQ Strategic Partners II, L.P., ICONIQ Strategic Partners II-B, L.P., and ICONIQ Strategic Partners II Co-Invest, L.P. (Series NS). ICONIQ Strategic Partners II TT GP, Ltd. ("ICONIQ Parent GP II") is the sole general partner of ICONIQ GP II. ICONIQ Strategic Partners VI GP, L.P. ("ICONIQ GP VI") is the sole general partner of ICONIQ Strategic Partners VI, L.P., ICONIQ Strategic Partners VI-B, L.P. and ICONIQ Strategic Partners VI Co-Invest, L.P. (Series NS). ICONIQ Strategic Partners VI TT GP, Ltd. ("ICONIQ Parent GP VI") is the sole general partner of ICONIQ GP VI. ICONIQ Strategic Partners VIII GP, L.P. ("ICONIQ GP VIII") is the sole general partner of ICONIQ Strategic Partners VIII Holdings, L.P. ICONIQ Strategic Partners VIII TT GP, LLC ("ICONIQ Parent GP VIII") is the sole general partner of ICONIQ GP VIII.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Divesh Makan and the Reporting Person are the sole equity holders of ICONIQ Parent GP II and the sole managing members of ICONIQ Parent GP VIII, and Divesh Makan, the Reporting Person and Matthew Jacobson are the sole equity holders of ICONIQ Parent GP VI. The Reporting Person disclaims beneficial ownership of the securities reported herein for purposes of Section 16 of the Exchange Act, except to the extent of his pecuniary interest therein, if any. This report shall not be deemed an admission that the Reporting Person is a beneficial owner of such securities for the purpose of Section 16 of the Securities Exchange Act of 1934, as amended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purchased in multiple transactions at prices ranging from $12.35 to $12.50. Full information regarding the number of shares purchased at each separate price can be furnished to the SEC staff upon request.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J.G. Griffith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8124" TargetMode="External"/><Relationship Id="rId5" Type="http://schemas.openxmlformats.org/officeDocument/2006/relationships/hyperlink" Target="http://www.sec.gov/cgi-bin/browse-edgar?action=getcompany&amp;CIK=00020631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5453</Characters>
  <CharactersWithSpaces>6387</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