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Griffith William J.G.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09"/>
        <w:gridCol w:w="780"/>
        <w:gridCol w:w="603"/>
        <w:gridCol w:w="337"/>
        <w:gridCol w:w="1142"/>
        <w:gridCol w:w="418"/>
        <w:gridCol w:w="583"/>
        <w:gridCol w:w="1335"/>
        <w:gridCol w:w="957"/>
        <w:gridCol w:w="11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3,085,037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6,999,211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2,414,963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5,478,971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916,690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1,167,726</w:t>
            </w:r>
            <w:r>
              <w:rPr>
                <w:rFonts w:ascii="Times;serif" w:hAnsi="Times;serif"/>
                <w:color w:val="008000"/>
                <w:position w:val="7"/>
                <w:sz w:val="16"/>
                <w:sz w:val="20"/>
                <w:shd w:fill="FFFFFF" w:val="clear"/>
              </w:rPr>
              <w:t>(5)</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22, 2026, ICONIQ Strategic Partners II, L.P. distributed, for no consideration, in the aggregate 3,085,037 shares of the Issuer's Class A Common Stock (the "ICONIQ II Shares") to its limited partners and to ICONIQ Strategic Partners II GP, L.P. ("ICONIQ GP II"), representing each such partner's pro rata interest in such ICONIQ II Shares. On the same date, ICONIQ GP II distributed, for no consideration, the ICONIQ II Shares it received in the distribution by ICONIQ II to its partners, representing each such partner's pro rata interest in such ICONIQ II Shares. All of the aforementioned distributions were made in accordance with the exemptions afforded by Rules 16a-13 and 16a-9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the Reporting Person are the sole equity holders of ICONIQ Parent GP II and the sole managing members of ICONIQ Parent GP VIII, and Divesh Makan, the Reporting Person and Matthew Jacobson are the sole equity holders of ICONIQ Parent GP VI. The Reporting Person disclaims beneficial ownership of the securities reported herein for purposes of Section 16 of the Exchange Act, except to the extent of its or his pecuniary interest therein, if any. This report shall not be deemed an admission that the Reporting Person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22, 2026, ICONIQ Strategic Partners II-B, L.P. distributed, for no consideration, in the aggregate 2,414,963 shares of the Issuer's Class A Common Stock (the "ICONIQ II-B Shares") to its limited partners and to ICONIQ GP II, representing each such partner's pro rata interest in such ICONIQ II-B Shares. On the same date, ICONIQ GP II distributed, for no consideration, the ICONIQ II-B Shares it received in the distribution by ICONIQ II-B to its partners, representing each such partner's pro rata interest in such ICONIQ II-B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Reporting Person through his family trust of which he is a trustee and another estate planning trust having an independent trustee. Includes an aggregate of 583,863 ICONIQ II Shares and ICONIQ II-B Shares received in the distributions described herein. The Reporting Person disclaims beneficial ownership of the shares held by such trusts for purposes of Section 16 of the Exchange Act, except to the extent of his pecuniary interest therein, if any. This report shall not be deemed an admission that the Reporting Person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J.G. Griffith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124"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1262</Words>
  <Characters>6667</Characters>
  <CharactersWithSpaces>7825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