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810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8100060"/>
                    </a:xfrm>
                    <a:prstGeom prst="rect">
                      <a:avLst/>
                    </a:prstGeom>
                    <a:noFill/>
                  </pic:spPr>
                </pic:pic>
              </a:graphicData>
            </a:graphic>
          </wp:anchor>
        </w:drawing>
      </w:r>
    </w:p>
    <w:p>
      <w:pPr>
        <w:spacing w:after="0" w:line="1203" w:lineRule="exact"/>
        <w:rPr>
          <w:sz w:val="24"/>
          <w:szCs w:val="24"/>
          <w:color w:val="auto"/>
        </w:rPr>
      </w:pPr>
    </w:p>
    <w:p>
      <w:pPr>
        <w:sectPr>
          <w:pgSz w:w="11900" w:h="16865" w:orient="portrait"/>
          <w:cols w:equalWidth="0" w:num="2">
            <w:col w:w="2280" w:space="340"/>
            <w:col w:w="8460"/>
          </w:cols>
          <w:pgMar w:left="460" w:top="216" w:right="359" w:bottom="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Bousquet Raphael</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NETSKOPE,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2445 AUGUSTINE DRIVE, SUITE 301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Netskope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NTSK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01/08/2026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18"/>
        <w:spacing w:after="0"/>
        <w:rPr>
          <w:sz w:val="20"/>
          <w:szCs w:val="20"/>
          <w:color w:val="auto"/>
        </w:rPr>
      </w:pPr>
      <w:r>
        <w:rPr>
          <w:rFonts w:ascii="Times New Roman" w:cs="Times New Roman" w:eastAsia="Times New Roman" w:hAnsi="Times New Roman"/>
          <w:sz w:val="16"/>
          <w:szCs w:val="16"/>
          <w:color w:val="0000FF"/>
        </w:rPr>
        <w:t>Chief Revenue Offucer</w:t>
      </w:r>
    </w:p>
    <w:p>
      <w:pPr>
        <w:spacing w:after="0" w:line="395" w:lineRule="exact"/>
        <w:rPr>
          <w:sz w:val="24"/>
          <w:szCs w:val="24"/>
          <w:color w:val="auto"/>
        </w:rPr>
      </w:pPr>
    </w:p>
    <w:p>
      <w:pPr>
        <w:sectPr>
          <w:pgSz w:w="11900" w:h="16865" w:orient="portrait"/>
          <w:cols w:equalWidth="0" w:num="3">
            <w:col w:w="3200" w:space="720"/>
            <w:col w:w="3102" w:space="720"/>
            <w:col w:w="3338"/>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58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4"/>
                <w:szCs w:val="14"/>
                <w:color w:val="auto"/>
              </w:rPr>
            </w:pP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SANTA CLARA 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95054</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520" w:type="dxa"/>
            <w:vAlign w:val="bottom"/>
            <w:vMerge w:val="restart"/>
          </w:tcPr>
          <w:p>
            <w:pPr>
              <w:ind w:left="120"/>
              <w:spacing w:after="0"/>
              <w:rPr>
                <w:sz w:val="20"/>
                <w:szCs w:val="20"/>
                <w:color w:val="auto"/>
              </w:rPr>
            </w:pPr>
            <w:r>
              <w:rPr>
                <w:rFonts w:ascii="Arial" w:cs="Arial" w:eastAsia="Arial" w:hAnsi="Arial"/>
                <w:sz w:val="13"/>
                <w:szCs w:val="13"/>
                <w:color w:val="auto"/>
                <w:w w:val="92"/>
              </w:rPr>
              <w:t>Person</w:t>
            </w: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280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6"/>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4"/>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3"/>
          </w:tcPr>
          <w:p>
            <w:pPr>
              <w:ind w:left="6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0000FF"/>
              </w:rPr>
              <w:t>01/08/2026</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3,224</w:t>
            </w:r>
          </w:p>
        </w:tc>
        <w:tc>
          <w:tcPr>
            <w:tcW w:w="54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160" w:type="dxa"/>
            <w:vAlign w:val="bottom"/>
          </w:tcPr>
          <w:p>
            <w:pPr>
              <w:spacing w:after="0"/>
              <w:rPr>
                <w:sz w:val="22"/>
                <w:szCs w:val="22"/>
                <w:color w:val="auto"/>
              </w:rPr>
            </w:pPr>
          </w:p>
        </w:tc>
        <w:tc>
          <w:tcPr>
            <w:tcW w:w="520" w:type="dxa"/>
            <w:vAlign w:val="bottom"/>
          </w:tcPr>
          <w:p>
            <w:pPr>
              <w:jc w:val="center"/>
              <w:ind w:right="12"/>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3,224</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6"/>
                <w:szCs w:val="16"/>
                <w:color w:val="0000FF"/>
              </w:rPr>
              <w:t>01/08/2026</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3,224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16.9745</w:t>
            </w:r>
            <w:r>
              <w:rPr>
                <w:rFonts w:ascii="Times New Roman" w:cs="Times New Roman" w:eastAsia="Times New Roman" w:hAnsi="Times New Roman"/>
                <w:sz w:val="21"/>
                <w:szCs w:val="21"/>
                <w:color w:val="008000"/>
                <w:w w:val="98"/>
                <w:vertAlign w:val="superscript"/>
              </w:rPr>
              <w:t>(3)</w:t>
            </w: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17"/>
              <w:spacing w:after="0"/>
              <w:rPr>
                <w:sz w:val="20"/>
                <w:szCs w:val="20"/>
                <w:color w:val="auto"/>
              </w:rPr>
            </w:pPr>
            <w:r>
              <w:rPr>
                <w:rFonts w:ascii="Times New Roman" w:cs="Times New Roman" w:eastAsia="Times New Roman" w:hAnsi="Times New Roman"/>
                <w:sz w:val="16"/>
                <w:szCs w:val="16"/>
                <w:color w:val="0000FF"/>
                <w:w w:val="99"/>
              </w:rPr>
              <w:t>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0000FF"/>
              </w:rPr>
              <w:t>01/09/2026</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3,192</w:t>
            </w:r>
          </w:p>
        </w:tc>
        <w:tc>
          <w:tcPr>
            <w:tcW w:w="54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160" w:type="dxa"/>
            <w:vAlign w:val="bottom"/>
          </w:tcPr>
          <w:p>
            <w:pPr>
              <w:spacing w:after="0"/>
              <w:rPr>
                <w:sz w:val="22"/>
                <w:szCs w:val="22"/>
                <w:color w:val="auto"/>
              </w:rPr>
            </w:pPr>
          </w:p>
        </w:tc>
        <w:tc>
          <w:tcPr>
            <w:tcW w:w="520" w:type="dxa"/>
            <w:vAlign w:val="bottom"/>
          </w:tcPr>
          <w:p>
            <w:pPr>
              <w:jc w:val="center"/>
              <w:ind w:right="12"/>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3,192</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6"/>
                <w:szCs w:val="16"/>
                <w:color w:val="0000FF"/>
              </w:rPr>
              <w:t>01/09/2026</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3,192</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16.3817</w:t>
            </w:r>
            <w:r>
              <w:rPr>
                <w:rFonts w:ascii="Times New Roman" w:cs="Times New Roman" w:eastAsia="Times New Roman" w:hAnsi="Times New Roman"/>
                <w:sz w:val="21"/>
                <w:szCs w:val="21"/>
                <w:color w:val="008000"/>
                <w:w w:val="98"/>
                <w:vertAlign w:val="superscript"/>
              </w:rPr>
              <w:t>(4)</w:t>
            </w: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17"/>
              <w:spacing w:after="0"/>
              <w:rPr>
                <w:sz w:val="20"/>
                <w:szCs w:val="20"/>
                <w:color w:val="auto"/>
              </w:rPr>
            </w:pPr>
            <w:r>
              <w:rPr>
                <w:rFonts w:ascii="Times New Roman" w:cs="Times New Roman" w:eastAsia="Times New Roman" w:hAnsi="Times New Roman"/>
                <w:sz w:val="16"/>
                <w:szCs w:val="16"/>
                <w:color w:val="0000FF"/>
                <w:w w:val="99"/>
              </w:rPr>
              <w:t>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0000FF"/>
              </w:rPr>
              <w:t>01/12/2026</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3,823</w:t>
            </w:r>
          </w:p>
        </w:tc>
        <w:tc>
          <w:tcPr>
            <w:tcW w:w="54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160" w:type="dxa"/>
            <w:vAlign w:val="bottom"/>
          </w:tcPr>
          <w:p>
            <w:pPr>
              <w:spacing w:after="0"/>
              <w:rPr>
                <w:sz w:val="22"/>
                <w:szCs w:val="22"/>
                <w:color w:val="auto"/>
              </w:rPr>
            </w:pPr>
          </w:p>
        </w:tc>
        <w:tc>
          <w:tcPr>
            <w:tcW w:w="520" w:type="dxa"/>
            <w:vAlign w:val="bottom"/>
          </w:tcPr>
          <w:p>
            <w:pPr>
              <w:jc w:val="center"/>
              <w:ind w:right="12"/>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3,823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6"/>
                <w:szCs w:val="16"/>
                <w:color w:val="0000FF"/>
              </w:rPr>
              <w:t>01/12/2026</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3,823</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16.6572</w:t>
            </w:r>
            <w:r>
              <w:rPr>
                <w:rFonts w:ascii="Times New Roman" w:cs="Times New Roman" w:eastAsia="Times New Roman" w:hAnsi="Times New Roman"/>
                <w:sz w:val="21"/>
                <w:szCs w:val="21"/>
                <w:color w:val="008000"/>
                <w:w w:val="98"/>
                <w:vertAlign w:val="superscript"/>
              </w:rPr>
              <w:t>(5)</w:t>
            </w: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517"/>
              <w:spacing w:after="0"/>
              <w:rPr>
                <w:sz w:val="20"/>
                <w:szCs w:val="20"/>
                <w:color w:val="auto"/>
              </w:rPr>
            </w:pPr>
            <w:r>
              <w:rPr>
                <w:rFonts w:ascii="Times New Roman" w:cs="Times New Roman" w:eastAsia="Times New Roman" w:hAnsi="Times New Roman"/>
                <w:sz w:val="16"/>
                <w:szCs w:val="16"/>
                <w:color w:val="0000FF"/>
                <w:w w:val="99"/>
              </w:rPr>
              <w:t>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6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0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gridSpan w:val="2"/>
            <w:vMerge w:val="restart"/>
          </w:tcPr>
          <w:p>
            <w:pPr>
              <w:jc w:val="center"/>
              <w:ind w:right="117"/>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(7)</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center"/>
              <w:ind w:left="64"/>
              <w:spacing w:after="0"/>
              <w:rPr>
                <w:sz w:val="20"/>
                <w:szCs w:val="20"/>
                <w:color w:val="auto"/>
              </w:rPr>
            </w:pPr>
            <w:r>
              <w:rPr>
                <w:rFonts w:ascii="Times New Roman" w:cs="Times New Roman" w:eastAsia="Times New Roman" w:hAnsi="Times New Roman"/>
                <w:sz w:val="11"/>
                <w:szCs w:val="11"/>
                <w:color w:val="008000"/>
                <w:w w:val="93"/>
              </w:rPr>
              <w:t>(8)</w:t>
            </w:r>
          </w:p>
        </w:tc>
        <w:tc>
          <w:tcPr>
            <w:tcW w:w="740" w:type="dxa"/>
            <w:vAlign w:val="bottom"/>
            <w:vMerge w:val="restart"/>
          </w:tcPr>
          <w:p>
            <w:pPr>
              <w:jc w:val="center"/>
              <w:ind w:left="37"/>
              <w:spacing w:after="0"/>
              <w:rPr>
                <w:sz w:val="20"/>
                <w:szCs w:val="20"/>
                <w:color w:val="auto"/>
              </w:rPr>
            </w:pPr>
            <w:r>
              <w:rPr>
                <w:rFonts w:ascii="Times New Roman" w:cs="Times New Roman" w:eastAsia="Times New Roman" w:hAnsi="Times New Roman"/>
                <w:sz w:val="11"/>
                <w:szCs w:val="11"/>
                <w:color w:val="008000"/>
                <w:w w:val="93"/>
              </w:rPr>
              <w:t>(8)</w:t>
            </w: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w w:val="94"/>
              </w:rPr>
              <w:t>Class B</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3,201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01/08/2026</w:t>
            </w:r>
          </w:p>
        </w:tc>
        <w:tc>
          <w:tcPr>
            <w:tcW w:w="10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3,201</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660" w:type="dxa"/>
            <w:vAlign w:val="bottom"/>
          </w:tcPr>
          <w:p>
            <w:pPr>
              <w:jc w:val="center"/>
              <w:ind w:left="237"/>
              <w:spacing w:after="0" w:line="140" w:lineRule="exact"/>
              <w:rPr>
                <w:sz w:val="20"/>
                <w:szCs w:val="20"/>
                <w:color w:val="auto"/>
              </w:rPr>
            </w:pPr>
            <w:r>
              <w:rPr>
                <w:rFonts w:ascii="Times New Roman" w:cs="Times New Roman" w:eastAsia="Times New Roman" w:hAnsi="Times New Roman"/>
                <w:sz w:val="13"/>
                <w:szCs w:val="13"/>
                <w:color w:val="0000FF"/>
              </w:rPr>
              <w:t>28,806</w:t>
            </w:r>
          </w:p>
        </w:tc>
        <w:tc>
          <w:tcPr>
            <w:tcW w:w="28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gridSpan w:val="2"/>
            <w:vMerge w:val="restart"/>
          </w:tcPr>
          <w:p>
            <w:pPr>
              <w:jc w:val="center"/>
              <w:ind w:right="117"/>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(7)</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center"/>
              <w:ind w:left="64"/>
              <w:spacing w:after="0"/>
              <w:rPr>
                <w:sz w:val="20"/>
                <w:szCs w:val="20"/>
                <w:color w:val="auto"/>
              </w:rPr>
            </w:pPr>
            <w:r>
              <w:rPr>
                <w:rFonts w:ascii="Times New Roman" w:cs="Times New Roman" w:eastAsia="Times New Roman" w:hAnsi="Times New Roman"/>
                <w:sz w:val="11"/>
                <w:szCs w:val="11"/>
                <w:color w:val="008000"/>
                <w:w w:val="93"/>
              </w:rPr>
              <w:t>(9)</w:t>
            </w:r>
          </w:p>
        </w:tc>
        <w:tc>
          <w:tcPr>
            <w:tcW w:w="740" w:type="dxa"/>
            <w:vAlign w:val="bottom"/>
            <w:vMerge w:val="restart"/>
          </w:tcPr>
          <w:p>
            <w:pPr>
              <w:jc w:val="center"/>
              <w:ind w:left="37"/>
              <w:spacing w:after="0"/>
              <w:rPr>
                <w:sz w:val="20"/>
                <w:szCs w:val="20"/>
                <w:color w:val="auto"/>
              </w:rPr>
            </w:pPr>
            <w:r>
              <w:rPr>
                <w:rFonts w:ascii="Times New Roman" w:cs="Times New Roman" w:eastAsia="Times New Roman" w:hAnsi="Times New Roman"/>
                <w:sz w:val="11"/>
                <w:szCs w:val="11"/>
                <w:color w:val="008000"/>
                <w:w w:val="93"/>
              </w:rPr>
              <w:t>(9)</w:t>
            </w:r>
          </w:p>
        </w:tc>
        <w:tc>
          <w:tcPr>
            <w:tcW w:w="540" w:type="dxa"/>
            <w:vAlign w:val="bottom"/>
          </w:tcPr>
          <w:p>
            <w:pPr>
              <w:jc w:val="center"/>
              <w:ind w:left="75"/>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25,000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01/08/2026</w:t>
            </w:r>
          </w:p>
        </w:tc>
        <w:tc>
          <w:tcPr>
            <w:tcW w:w="10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25,000</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4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275,000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gridSpan w:val="2"/>
            <w:vMerge w:val="restart"/>
          </w:tcPr>
          <w:p>
            <w:pPr>
              <w:jc w:val="center"/>
              <w:ind w:right="117"/>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(7)</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ind w:left="37"/>
              <w:spacing w:after="0"/>
              <w:rPr>
                <w:sz w:val="20"/>
                <w:szCs w:val="20"/>
                <w:color w:val="auto"/>
              </w:rPr>
            </w:pPr>
            <w:r>
              <w:rPr>
                <w:rFonts w:ascii="Times New Roman" w:cs="Times New Roman" w:eastAsia="Times New Roman" w:hAnsi="Times New Roman"/>
                <w:sz w:val="11"/>
                <w:szCs w:val="11"/>
                <w:color w:val="008000"/>
                <w:w w:val="87"/>
              </w:rPr>
              <w:t>(10)</w:t>
            </w:r>
          </w:p>
        </w:tc>
        <w:tc>
          <w:tcPr>
            <w:tcW w:w="540" w:type="dxa"/>
            <w:vAlign w:val="bottom"/>
          </w:tcPr>
          <w:p>
            <w:pPr>
              <w:jc w:val="center"/>
              <w:ind w:left="75"/>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3,125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01/08/2026</w:t>
            </w:r>
          </w:p>
        </w:tc>
        <w:tc>
          <w:tcPr>
            <w:tcW w:w="10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3,125</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660" w:type="dxa"/>
            <w:vAlign w:val="bottom"/>
          </w:tcPr>
          <w:p>
            <w:pPr>
              <w:jc w:val="center"/>
              <w:ind w:left="237"/>
              <w:spacing w:after="0" w:line="140" w:lineRule="exact"/>
              <w:rPr>
                <w:sz w:val="20"/>
                <w:szCs w:val="20"/>
                <w:color w:val="auto"/>
              </w:rPr>
            </w:pPr>
            <w:r>
              <w:rPr>
                <w:rFonts w:ascii="Times New Roman" w:cs="Times New Roman" w:eastAsia="Times New Roman" w:hAnsi="Times New Roman"/>
                <w:sz w:val="13"/>
                <w:szCs w:val="13"/>
                <w:color w:val="0000FF"/>
              </w:rPr>
              <w:t>40,625</w:t>
            </w:r>
          </w:p>
        </w:tc>
        <w:tc>
          <w:tcPr>
            <w:tcW w:w="28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gridSpan w:val="2"/>
            <w:vMerge w:val="restart"/>
          </w:tcPr>
          <w:p>
            <w:pPr>
              <w:jc w:val="center"/>
              <w:ind w:right="117"/>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(7)</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ind w:left="37"/>
              <w:spacing w:after="0"/>
              <w:rPr>
                <w:sz w:val="20"/>
                <w:szCs w:val="20"/>
                <w:color w:val="auto"/>
              </w:rPr>
            </w:pPr>
            <w:r>
              <w:rPr>
                <w:rFonts w:ascii="Times New Roman" w:cs="Times New Roman" w:eastAsia="Times New Roman" w:hAnsi="Times New Roman"/>
                <w:sz w:val="11"/>
                <w:szCs w:val="11"/>
                <w:color w:val="008000"/>
                <w:w w:val="87"/>
              </w:rPr>
              <w:t>(11)</w:t>
            </w: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w w:val="94"/>
              </w:rPr>
              <w:t>Class B</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28,125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01/08/2026</w:t>
            </w:r>
          </w:p>
        </w:tc>
        <w:tc>
          <w:tcPr>
            <w:tcW w:w="10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28,125</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4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421,875</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center"/>
              <w:ind w:left="64"/>
              <w:spacing w:after="0"/>
              <w:rPr>
                <w:sz w:val="20"/>
                <w:szCs w:val="20"/>
                <w:color w:val="auto"/>
              </w:rPr>
            </w:pPr>
            <w:r>
              <w:rPr>
                <w:rFonts w:ascii="Times New Roman" w:cs="Times New Roman" w:eastAsia="Times New Roman" w:hAnsi="Times New Roman"/>
                <w:sz w:val="11"/>
                <w:szCs w:val="11"/>
                <w:color w:val="008000"/>
                <w:w w:val="93"/>
              </w:rPr>
              <w:t>(1)</w:t>
            </w:r>
          </w:p>
        </w:tc>
        <w:tc>
          <w:tcPr>
            <w:tcW w:w="740" w:type="dxa"/>
            <w:vAlign w:val="bottom"/>
            <w:vMerge w:val="restart"/>
          </w:tcPr>
          <w:p>
            <w:pPr>
              <w:jc w:val="center"/>
              <w:ind w:left="37"/>
              <w:spacing w:after="0"/>
              <w:rPr>
                <w:sz w:val="20"/>
                <w:szCs w:val="20"/>
                <w:color w:val="auto"/>
              </w:rPr>
            </w:pPr>
            <w:r>
              <w:rPr>
                <w:rFonts w:ascii="Times New Roman" w:cs="Times New Roman" w:eastAsia="Times New Roman" w:hAnsi="Times New Roman"/>
                <w:sz w:val="11"/>
                <w:szCs w:val="11"/>
                <w:color w:val="008000"/>
                <w:w w:val="87"/>
              </w:rPr>
              <w:t>(12)</w:t>
            </w:r>
          </w:p>
        </w:tc>
        <w:tc>
          <w:tcPr>
            <w:tcW w:w="540" w:type="dxa"/>
            <w:vAlign w:val="bottom"/>
          </w:tcPr>
          <w:p>
            <w:pPr>
              <w:jc w:val="center"/>
              <w:ind w:left="75"/>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59,451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01/08/2026</w:t>
            </w:r>
          </w:p>
        </w:tc>
        <w:tc>
          <w:tcPr>
            <w:tcW w:w="1080" w:type="dxa"/>
            <w:vAlign w:val="bottom"/>
          </w:tcPr>
          <w:p>
            <w:pPr>
              <w:spacing w:after="0"/>
              <w:rPr>
                <w:sz w:val="12"/>
                <w:szCs w:val="12"/>
                <w:color w:val="auto"/>
              </w:rPr>
            </w:pPr>
          </w:p>
        </w:tc>
        <w:tc>
          <w:tcPr>
            <w:tcW w:w="580" w:type="dxa"/>
            <w:vAlign w:val="bottom"/>
            <w:gridSpan w:val="2"/>
          </w:tcPr>
          <w:p>
            <w:pPr>
              <w:jc w:val="center"/>
              <w:ind w:right="117"/>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52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59,451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4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122,581</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center"/>
              <w:ind w:left="64"/>
              <w:spacing w:after="0"/>
              <w:rPr>
                <w:sz w:val="20"/>
                <w:szCs w:val="20"/>
                <w:color w:val="auto"/>
              </w:rPr>
            </w:pPr>
            <w:r>
              <w:rPr>
                <w:rFonts w:ascii="Times New Roman" w:cs="Times New Roman" w:eastAsia="Times New Roman" w:hAnsi="Times New Roman"/>
                <w:sz w:val="11"/>
                <w:szCs w:val="11"/>
                <w:color w:val="008000"/>
                <w:w w:val="93"/>
              </w:rPr>
              <w:t>(1)</w:t>
            </w:r>
          </w:p>
        </w:tc>
        <w:tc>
          <w:tcPr>
            <w:tcW w:w="740" w:type="dxa"/>
            <w:vAlign w:val="bottom"/>
            <w:vMerge w:val="restart"/>
          </w:tcPr>
          <w:p>
            <w:pPr>
              <w:jc w:val="center"/>
              <w:ind w:left="37"/>
              <w:spacing w:after="0"/>
              <w:rPr>
                <w:sz w:val="20"/>
                <w:szCs w:val="20"/>
                <w:color w:val="auto"/>
              </w:rPr>
            </w:pPr>
            <w:r>
              <w:rPr>
                <w:rFonts w:ascii="Times New Roman" w:cs="Times New Roman" w:eastAsia="Times New Roman" w:hAnsi="Times New Roman"/>
                <w:sz w:val="11"/>
                <w:szCs w:val="11"/>
                <w:color w:val="008000"/>
                <w:w w:val="87"/>
              </w:rPr>
              <w:t>(12)</w:t>
            </w:r>
          </w:p>
        </w:tc>
        <w:tc>
          <w:tcPr>
            <w:tcW w:w="540" w:type="dxa"/>
            <w:vAlign w:val="bottom"/>
          </w:tcPr>
          <w:p>
            <w:pPr>
              <w:jc w:val="center"/>
              <w:ind w:left="75"/>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3,224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01/08/2026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w w:val="91"/>
              </w:rPr>
              <w:t>C</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3,224</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4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119,357</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center"/>
              <w:ind w:left="64"/>
              <w:spacing w:after="0"/>
              <w:rPr>
                <w:sz w:val="20"/>
                <w:szCs w:val="20"/>
                <w:color w:val="auto"/>
              </w:rPr>
            </w:pPr>
            <w:r>
              <w:rPr>
                <w:rFonts w:ascii="Times New Roman" w:cs="Times New Roman" w:eastAsia="Times New Roman" w:hAnsi="Times New Roman"/>
                <w:sz w:val="11"/>
                <w:szCs w:val="11"/>
                <w:color w:val="008000"/>
                <w:w w:val="93"/>
              </w:rPr>
              <w:t>(1)</w:t>
            </w:r>
          </w:p>
        </w:tc>
        <w:tc>
          <w:tcPr>
            <w:tcW w:w="740" w:type="dxa"/>
            <w:vAlign w:val="bottom"/>
            <w:vMerge w:val="restart"/>
          </w:tcPr>
          <w:p>
            <w:pPr>
              <w:jc w:val="center"/>
              <w:ind w:left="37"/>
              <w:spacing w:after="0"/>
              <w:rPr>
                <w:sz w:val="20"/>
                <w:szCs w:val="20"/>
                <w:color w:val="auto"/>
              </w:rPr>
            </w:pPr>
            <w:r>
              <w:rPr>
                <w:rFonts w:ascii="Times New Roman" w:cs="Times New Roman" w:eastAsia="Times New Roman" w:hAnsi="Times New Roman"/>
                <w:sz w:val="11"/>
                <w:szCs w:val="11"/>
                <w:color w:val="008000"/>
                <w:w w:val="87"/>
              </w:rPr>
              <w:t>(12)</w:t>
            </w:r>
          </w:p>
        </w:tc>
        <w:tc>
          <w:tcPr>
            <w:tcW w:w="540" w:type="dxa"/>
            <w:vAlign w:val="bottom"/>
          </w:tcPr>
          <w:p>
            <w:pPr>
              <w:jc w:val="center"/>
              <w:ind w:left="75"/>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3,192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01/09/2026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w w:val="91"/>
              </w:rPr>
              <w:t>C</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3,192</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4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116,165</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center"/>
              <w:ind w:left="64"/>
              <w:spacing w:after="0"/>
              <w:rPr>
                <w:sz w:val="20"/>
                <w:szCs w:val="20"/>
                <w:color w:val="auto"/>
              </w:rPr>
            </w:pPr>
            <w:r>
              <w:rPr>
                <w:rFonts w:ascii="Times New Roman" w:cs="Times New Roman" w:eastAsia="Times New Roman" w:hAnsi="Times New Roman"/>
                <w:sz w:val="11"/>
                <w:szCs w:val="11"/>
                <w:color w:val="008000"/>
                <w:w w:val="93"/>
              </w:rPr>
              <w:t>(1)</w:t>
            </w:r>
          </w:p>
        </w:tc>
        <w:tc>
          <w:tcPr>
            <w:tcW w:w="740" w:type="dxa"/>
            <w:vAlign w:val="bottom"/>
            <w:vMerge w:val="restart"/>
          </w:tcPr>
          <w:p>
            <w:pPr>
              <w:jc w:val="center"/>
              <w:ind w:left="37"/>
              <w:spacing w:after="0"/>
              <w:rPr>
                <w:sz w:val="20"/>
                <w:szCs w:val="20"/>
                <w:color w:val="auto"/>
              </w:rPr>
            </w:pPr>
            <w:r>
              <w:rPr>
                <w:rFonts w:ascii="Times New Roman" w:cs="Times New Roman" w:eastAsia="Times New Roman" w:hAnsi="Times New Roman"/>
                <w:sz w:val="11"/>
                <w:szCs w:val="11"/>
                <w:color w:val="008000"/>
                <w:w w:val="87"/>
              </w:rPr>
              <w:t>(12)</w:t>
            </w:r>
          </w:p>
        </w:tc>
        <w:tc>
          <w:tcPr>
            <w:tcW w:w="540" w:type="dxa"/>
            <w:vAlign w:val="bottom"/>
          </w:tcPr>
          <w:p>
            <w:pPr>
              <w:jc w:val="center"/>
              <w:ind w:left="75"/>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3,823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01/12/2026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w w:val="91"/>
              </w:rPr>
              <w:t>C</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3,823</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4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112,342</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-4242435</wp:posOffset>
            </wp:positionV>
            <wp:extent cx="28575" cy="4248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24815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into one share of Class A Common Stock at the option of the holder.</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settlement of restricted stock units, or RSUs.</w:t>
      </w:r>
    </w:p>
    <w:p>
      <w:pPr>
        <w:spacing w:after="0" w:line="40" w:lineRule="exact"/>
        <w:rPr>
          <w:rFonts w:ascii="Times New Roman" w:cs="Times New Roman" w:eastAsia="Times New Roman" w:hAnsi="Times New Roman"/>
          <w:sz w:val="13"/>
          <w:szCs w:val="13"/>
          <w:color w:val="008000"/>
        </w:rPr>
      </w:pPr>
    </w:p>
    <w:p>
      <w:pPr>
        <w:ind w:left="40" w:right="240"/>
        <w:spacing w:after="0" w:line="289"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$16.58 to $17.50, inclusive. The reporting person undertakes to provide to the Issuer, any security holder of the Issuer, or the staff of the Securities and Exchange Commission, upon request, full information regarding the number of shares sold at each separate price within the ranges set forth</w:t>
      </w:r>
    </w:p>
    <w:p>
      <w:pPr>
        <w:sectPr>
          <w:pgSz w:w="11900" w:h="16865"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in footnotes (3), (4) and (5) to this Form 4.</w:t>
      </w:r>
    </w:p>
    <w:p>
      <w:pPr>
        <w:spacing w:after="0" w:line="41" w:lineRule="exact"/>
        <w:rPr>
          <w:sz w:val="20"/>
          <w:szCs w:val="20"/>
          <w:color w:val="auto"/>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$15.995 to $16.55, inclusive.</w:t>
      </w:r>
    </w:p>
    <w:p>
      <w:pPr>
        <w:spacing w:after="0" w:line="40"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$16.44 to $17.08, inclusive.</w:t>
      </w:r>
    </w:p>
    <w:p>
      <w:pPr>
        <w:spacing w:after="0" w:line="40"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or RSU, represents a contingent right to receive one share of Issuer Class B Common Stock.</w:t>
      </w:r>
    </w:p>
    <w:p>
      <w:pPr>
        <w:spacing w:after="0" w:line="40"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the vested RSUs was deferred until January 8, 2026.</w:t>
      </w:r>
    </w:p>
    <w:p>
      <w:pPr>
        <w:spacing w:after="0" w:line="40"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remaining RSUs vest in nine equal quarterly installments beginning on April 1, 2026.</w:t>
      </w:r>
    </w:p>
    <w:p>
      <w:pPr>
        <w:spacing w:after="0" w:line="40"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remaining RSUs vest in 11 equal quarterly installments beginning on April 1, 2026.</w:t>
      </w:r>
    </w:p>
    <w:p>
      <w:pPr>
        <w:spacing w:after="0" w:line="40"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remaining RSUs vest in 13 equal quarterly installments beginning on April 1, 2026.</w:t>
      </w:r>
    </w:p>
    <w:p>
      <w:pPr>
        <w:spacing w:after="0" w:line="40"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remaining RSUs vest in 15 equal quarterly installments beginning on April 1, 2026.</w:t>
      </w:r>
    </w:p>
    <w:p>
      <w:pPr>
        <w:spacing w:after="0" w:line="40" w:lineRule="exact"/>
        <w:rPr>
          <w:rFonts w:ascii="Times New Roman" w:cs="Times New Roman" w:eastAsia="Times New Roman" w:hAnsi="Times New Roman"/>
          <w:sz w:val="13"/>
          <w:szCs w:val="13"/>
          <w:color w:val="008000"/>
        </w:rPr>
      </w:pPr>
    </w:p>
    <w:p>
      <w:pPr>
        <w:spacing w:after="0" w:line="244"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Class B Common Stock automatically convert to shares of Class A Common Stock on a 1:1 basis on or prior to September 19, 2035 as set forth in the Issuer's amended and restated certificate of incorporation.</w:t>
      </w:r>
    </w:p>
    <w:p>
      <w:pPr>
        <w:ind w:left="6560"/>
        <w:spacing w:after="0" w:line="183" w:lineRule="auto"/>
        <w:rPr>
          <w:sz w:val="20"/>
          <w:szCs w:val="20"/>
          <w:color w:val="auto"/>
        </w:rPr>
      </w:pPr>
      <w:r>
        <w:rPr>
          <w:rFonts w:ascii="Times New Roman" w:cs="Times New Roman" w:eastAsia="Times New Roman" w:hAnsi="Times New Roman"/>
          <w:sz w:val="16"/>
          <w:szCs w:val="16"/>
          <w:color w:val="0000FF"/>
        </w:rPr>
        <w:t xml:space="preserve">/s/ James Bushnell, by power of </w:t>
      </w:r>
      <w:r>
        <w:rPr>
          <w:rFonts w:ascii="Times New Roman" w:cs="Times New Roman" w:eastAsia="Times New Roman" w:hAnsi="Times New Roman"/>
          <w:sz w:val="31"/>
          <w:szCs w:val="31"/>
          <w:color w:val="0000FF"/>
          <w:vertAlign w:val="subscript"/>
        </w:rPr>
        <w:t>01/12/2026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-26670</wp:posOffset>
            </wp:positionV>
            <wp:extent cx="133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-14605</wp:posOffset>
            </wp:positionV>
            <wp:extent cx="3429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420"/>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500" w:top="12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4416" TargetMode="External"/><Relationship Id="rId14" Type="http://schemas.openxmlformats.org/officeDocument/2006/relationships/hyperlink" Target="http://www.sec.gov/cgi-bin/browse-edgar?action=getcompany&amp;CIK=00020631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2026-01-12T18:52:32Z</dcterms:created>
  <dcterms:modified xsi:type="dcterms:W3CDTF">2026-01-12T18:52:32Z</dcterms:modified>
</cp:coreProperties>
</file>