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ntsk-20260707.htm"/>
      <w:bookmarkStart w:id="1" w:name="ksntsk2026070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07,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Netskope,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2" w:type="dxa"/>
        <w:jc w:val="left"/>
        <w:tblInd w:w="0" w:type="dxa"/>
        <w:tblLayout w:type="fixed"/>
        <w:tblCellMar>
          <w:top w:w="28" w:type="dxa"/>
          <w:left w:w="28" w:type="dxa"/>
          <w:bottom w:w="28" w:type="dxa"/>
          <w:right w:w="28" w:type="dxa"/>
        </w:tblCellMar>
      </w:tblPr>
      <w:tblGrid>
        <w:gridCol w:w="997"/>
        <w:gridCol w:w="909"/>
        <w:gridCol w:w="914"/>
        <w:gridCol w:w="1846"/>
        <w:gridCol w:w="1336"/>
      </w:tblGrid>
      <w:tr>
        <w:trPr/>
        <w:tc>
          <w:tcPr>
            <w:tcW w:w="99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001-42848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46-1141117</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2445 Augustine Drive, Suite 301</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Santa Clara,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95054</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(800)</w:t>
            </w:r>
            <w:r>
              <w:rPr>
                <w:rFonts w:ascii="Times New Roman" w:hAnsi="Times New Roman"/>
                <w:color w:val="000000"/>
                <w:sz w:val="20"/>
              </w:rPr>
              <w:t xml:space="preserve"> </w:t>
            </w:r>
            <w:r>
              <w:rPr>
                <w:rFonts w:ascii="Times New Roman" w:hAnsi="Times New Roman"/>
                <w:b/>
                <w:color w:val="000000"/>
                <w:sz w:val="20"/>
              </w:rPr>
              <w:t>979-6988</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NTSK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5.07 Submission of Matters to a Vote of Security Holders.</w:t>
      </w:r>
    </w:p>
    <w:p>
      <w:pPr>
        <w:pStyle w:val="TextBody"/>
        <w:bidi w:val="0"/>
        <w:jc w:val="left"/>
        <w:rPr>
          <w:rFonts w:ascii="Times New Roman" w:hAnsi="Times New Roman"/>
          <w:color w:val="000000"/>
          <w:sz w:val="20"/>
        </w:rPr>
      </w:pPr>
      <w:r>
        <w:rPr>
          <w:rFonts w:ascii="Times New Roman" w:hAnsi="Times New Roman"/>
          <w:color w:val="000000"/>
          <w:sz w:val="20"/>
        </w:rPr>
        <w:t>The Company held its 2026 annual meeting of stockholders on July 7, 2026. The Company’s stockholders voted on the following matters, which are described in detail in the Company's proxy statement filed with the Securities and Exchange Commission on May 27,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Proposal No. 1:</w:t>
      </w:r>
      <w:r>
        <w:rPr>
          <w:rFonts w:ascii="Times New Roman" w:hAnsi="Times New Roman"/>
          <w:color w:val="000000"/>
          <w:sz w:val="20"/>
        </w:rPr>
        <w:t xml:space="preserve"> The Company’s stockholders approved the election of Sanjay Beri and Arif Janmohamed as Class I directors to hold office until the Company's 2029 annual meeting of stockholders and until their respective successors are elected and qualified or until such director's earlier death, resignation, or removal. The Company’s stockholders voted as follows:</w:t>
      </w:r>
    </w:p>
    <w:p>
      <w:pPr>
        <w:pStyle w:val="TextBody"/>
        <w:bidi w:val="0"/>
        <w:jc w:val="left"/>
        <w:rPr/>
      </w:pPr>
      <w:r>
        <w:rPr/>
        <w:t> </w:t>
      </w:r>
    </w:p>
    <w:tbl>
      <w:tblPr>
        <w:tblW w:w="6704" w:type="dxa"/>
        <w:jc w:val="left"/>
        <w:tblInd w:w="0" w:type="dxa"/>
        <w:tblLayout w:type="fixed"/>
        <w:tblCellMar>
          <w:top w:w="28" w:type="dxa"/>
          <w:left w:w="28" w:type="dxa"/>
          <w:bottom w:w="28" w:type="dxa"/>
          <w:right w:w="28" w:type="dxa"/>
        </w:tblCellMar>
      </w:tblPr>
      <w:tblGrid>
        <w:gridCol w:w="1722"/>
        <w:gridCol w:w="146"/>
        <w:gridCol w:w="1291"/>
        <w:gridCol w:w="146"/>
        <w:gridCol w:w="1396"/>
        <w:gridCol w:w="146"/>
        <w:gridCol w:w="1857"/>
      </w:tblGrid>
      <w:tr>
        <w:trPr/>
        <w:tc>
          <w:tcPr>
            <w:tcW w:w="1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1722"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20"/>
              </w:rPr>
            </w:pPr>
            <w:r>
              <w:rPr>
                <w:rFonts w:ascii="Times New Roman" w:hAnsi="Times New Roman"/>
                <w:b/>
                <w:color w:val="000000"/>
                <w:sz w:val="20"/>
              </w:rPr>
              <w:t>Nominees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Votes For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Votes Withheld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7" w:type="dxa"/>
            <w:tcBorders>
              <w:bottom w:val="single" w:sz="8" w:space="0" w:color="000000"/>
            </w:tcBorders>
            <w:tcMar>
              <w:top w:w="0" w:type="dxa"/>
              <w:left w:w="0" w:type="dxa"/>
              <w:right w:w="0" w:type="dxa"/>
            </w:tcMar>
            <w:vAlign w:val="center"/>
          </w:tcPr>
          <w:p>
            <w:pPr>
              <w:pStyle w:val="TableContents"/>
              <w:bidi w:val="0"/>
              <w:spacing w:before="0" w:after="283"/>
              <w:ind w:left="0" w:right="0" w:firstLine="176"/>
              <w:jc w:val="left"/>
              <w:rPr>
                <w:rFonts w:ascii="Times New Roman" w:hAnsi="Times New Roman"/>
                <w:b/>
                <w:color w:val="000000"/>
                <w:sz w:val="20"/>
              </w:rPr>
            </w:pPr>
            <w:r>
              <w:rPr>
                <w:rFonts w:ascii="Times New Roman" w:hAnsi="Times New Roman"/>
                <w:b/>
                <w:color w:val="000000"/>
                <w:sz w:val="20"/>
              </w:rPr>
              <w:t>Broker Non-Votes</w:t>
            </w:r>
          </w:p>
        </w:tc>
      </w:tr>
      <w:tr>
        <w:trPr/>
        <w:tc>
          <w:tcPr>
            <w:tcW w:w="1722"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Sanjay Beri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2,611,073,089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199,866,434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57"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74,136,404</w:t>
            </w:r>
          </w:p>
        </w:tc>
      </w:tr>
      <w:tr>
        <w:trPr/>
        <w:tc>
          <w:tcPr>
            <w:tcW w:w="1722"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Arif Janmohamed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2,606,241,551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204,697,972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74,136,404</w:t>
            </w:r>
          </w:p>
        </w:tc>
      </w:tr>
    </w:tbl>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sz w:val="20"/>
        </w:rPr>
      </w:pPr>
      <w:r>
        <w:rPr>
          <w:rFonts w:ascii="Times New Roman" w:hAnsi="Times New Roman"/>
          <w:b/>
          <w:color w:val="000000"/>
          <w:sz w:val="20"/>
        </w:rPr>
        <w:t>Proposal No. 2:</w:t>
      </w:r>
      <w:r>
        <w:rPr>
          <w:rFonts w:ascii="Times New Roman" w:hAnsi="Times New Roman"/>
          <w:color w:val="000000"/>
          <w:sz w:val="20"/>
        </w:rPr>
        <w:t xml:space="preserve"> The Company’s stockholders ratified the appointment of KPMG LLP as the Company's independent registered public accounting firm for the Company's fiscal year ending January 31, 2027. The Company’s stockholders voted as follows:</w:t>
      </w:r>
    </w:p>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1482"/>
        <w:gridCol w:w="146"/>
        <w:gridCol w:w="1261"/>
        <w:gridCol w:w="146"/>
        <w:gridCol w:w="1081"/>
        <w:gridCol w:w="146"/>
        <w:gridCol w:w="1857"/>
      </w:tblGrid>
      <w:tr>
        <w:trPr/>
        <w:tc>
          <w:tcPr>
            <w:tcW w:w="1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1482"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20"/>
              </w:rPr>
            </w:pPr>
            <w:r>
              <w:rPr>
                <w:rFonts w:ascii="Times New Roman" w:hAnsi="Times New Roman"/>
                <w:b/>
                <w:color w:val="000000"/>
                <w:sz w:val="20"/>
              </w:rPr>
              <w:t>Votes For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20"/>
              </w:rPr>
            </w:pPr>
            <w:r>
              <w:rPr>
                <w:rFonts w:ascii="Times New Roman" w:hAnsi="Times New Roman"/>
                <w:b/>
                <w:color w:val="000000"/>
                <w:sz w:val="20"/>
              </w:rPr>
              <w:t>Votes Against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20"/>
              </w:rPr>
            </w:pPr>
            <w:r>
              <w:rPr>
                <w:rFonts w:ascii="Times New Roman" w:hAnsi="Times New Roman"/>
                <w:b/>
                <w:color w:val="000000"/>
                <w:sz w:val="20"/>
              </w:rPr>
              <w:t>Abstentions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57" w:type="dxa"/>
            <w:tcBorders/>
            <w:tcMar>
              <w:top w:w="0" w:type="dxa"/>
              <w:left w:w="0" w:type="dxa"/>
              <w:bottom w:w="0" w:type="dxa"/>
              <w:right w:w="0" w:type="dxa"/>
            </w:tcMar>
            <w:vAlign w:val="center"/>
          </w:tcPr>
          <w:p>
            <w:pPr>
              <w:pStyle w:val="TableContents"/>
              <w:pBdr>
                <w:bottom w:val="single" w:sz="8" w:space="1" w:color="000000"/>
              </w:pBdr>
              <w:bidi w:val="0"/>
              <w:spacing w:before="0" w:after="283"/>
              <w:ind w:left="0" w:right="0" w:firstLine="176"/>
              <w:jc w:val="left"/>
              <w:rPr>
                <w:rFonts w:ascii="Times New Roman" w:hAnsi="Times New Roman"/>
                <w:b/>
                <w:color w:val="000000"/>
                <w:sz w:val="20"/>
              </w:rPr>
            </w:pPr>
            <w:r>
              <w:rPr>
                <w:rFonts w:ascii="Times New Roman" w:hAnsi="Times New Roman"/>
                <w:b/>
                <w:color w:val="000000"/>
                <w:sz w:val="20"/>
              </w:rPr>
              <w:t>Broker Non-Votes</w:t>
            </w:r>
          </w:p>
        </w:tc>
      </w:tr>
      <w:tr>
        <w:trPr/>
        <w:tc>
          <w:tcPr>
            <w:tcW w:w="1482" w:type="dxa"/>
            <w:tcBorders/>
            <w:tcMar>
              <w:top w:w="0" w:type="dxa"/>
              <w:left w:w="0" w:type="dxa"/>
              <w:bottom w:w="0" w:type="dxa"/>
              <w:right w:w="0" w:type="dxa"/>
            </w:tcMar>
            <w:vAlign w:val="center"/>
          </w:tcPr>
          <w:p>
            <w:pPr>
              <w:pStyle w:val="TableContents"/>
              <w:bidi w:val="0"/>
              <w:spacing w:before="0" w:after="283"/>
              <w:ind w:left="0" w:right="0" w:firstLine="176"/>
              <w:jc w:val="left"/>
              <w:rPr>
                <w:rFonts w:ascii="Times New Roman" w:hAnsi="Times New Roman"/>
                <w:color w:val="000000"/>
                <w:sz w:val="20"/>
              </w:rPr>
            </w:pPr>
            <w:r>
              <w:rPr>
                <w:rFonts w:ascii="Times New Roman" w:hAnsi="Times New Roman"/>
                <w:color w:val="000000"/>
                <w:sz w:val="20"/>
              </w:rPr>
              <w:t>2,880,485,499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2,368,555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2,221,873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Heading2"/>
        <w:bidi w:val="0"/>
        <w:spacing w:before="36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129" w:type="dxa"/>
        <w:jc w:val="left"/>
        <w:tblInd w:w="0" w:type="dxa"/>
        <w:tblLayout w:type="fixed"/>
        <w:tblCellMar>
          <w:top w:w="28" w:type="dxa"/>
          <w:left w:w="28" w:type="dxa"/>
          <w:bottom w:w="28" w:type="dxa"/>
          <w:right w:w="28" w:type="dxa"/>
        </w:tblCellMar>
      </w:tblPr>
      <w:tblGrid>
        <w:gridCol w:w="556"/>
        <w:gridCol w:w="1111"/>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Netskope, Inc.</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4"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Andrew Del Matto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Del Matto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520</Words>
  <Characters>2939</Characters>
  <CharactersWithSpaces>3448</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