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tsk-20260902.htm"/>
      <w:bookmarkStart w:id="1" w:name="ksntsk2026090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Netskope,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001-42848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46-1141117</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2445 Augustine Drive, Suite 301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Santa Clara,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95054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979-6988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NTSK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2, 2026, Netskope, Inc. (the “Company”) issued a press release announcing its financial results for the second quarter of fiscal 2027 ended July 31, 2026. A copy of the press release is furnished herewith as Exhibit 99.1. The Company makes reference to non-GAAP financial information in the Company’s press release. A reconciliation of these non-GAAP financial measures to the comparable GAAP financial measures is contained in the attached press release.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2, 2026, the Company posted supplemental investor materials on the investor relations section of its website (investors.netskope.com). The Company announces material information to the public about it, its products and services, and other matters through a variety of means, including filings with the Securities and Exchange Commission, press releases, public conference calls, webcasts, the investor relations section of its website (investors.netskope.com), LinkedIn (Netskope) and Instagram (@Netskope) in order to achieve broad, non-exclusionary distribution of information to the public and for complying with its disclosure obligations under Regulation FD.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2.02 and Item 7.01 of this Current Report on Form 8-K and in the accompanying exhibits are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regardless of any general incorporation language in such filing, unless expressly incorporated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 Financial Statements and Exhibits.</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sk-ex99_1.htm">
              <w:r>
                <w:rPr>
                  <w:rStyle w:val="InternetLink"/>
                  <w:rFonts w:ascii="Times New Roman" w:hAnsi="Times New Roman"/>
                  <w:color w:val="0000FF"/>
                  <w:sz w:val="20"/>
                  <w:u w:val="single"/>
                </w:rPr>
                <w:t>Press Release issued by Netskope, Inc. dated September 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19" w:type="dxa"/>
        <w:jc w:val="left"/>
        <w:tblInd w:w="0" w:type="dxa"/>
        <w:tblLayout w:type="fixed"/>
        <w:tblCellMar>
          <w:top w:w="28" w:type="dxa"/>
          <w:left w:w="28" w:type="dxa"/>
          <w:bottom w:w="28" w:type="dxa"/>
          <w:right w:w="28" w:type="dxa"/>
        </w:tblCellMar>
      </w:tblPr>
      <w:tblGrid>
        <w:gridCol w:w="556"/>
        <w:gridCol w:w="1621"/>
        <w:gridCol w:w="63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Netskope, Inc.</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Drew Del Matto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Drew Del Matto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tsk-ex99_1.htm"/>
      <w:bookmarkStart w:id="3" w:name="ksntsk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pPr>
      <w:r>
        <w:rPr/>
        <w:drawing>
          <wp:inline distT="0" distB="0" distL="0" distR="0">
            <wp:extent cx="21812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3429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8"/>
        </w:rPr>
      </w:pPr>
      <w:r>
        <w:rPr>
          <w:rFonts w:ascii="Times New Roman" w:hAnsi="Times New Roman"/>
          <w:b/>
          <w:color w:val="000000"/>
          <w:sz w:val="28"/>
        </w:rPr>
        <w:t>Netskope Announces Strong Second Quarter Fiscal 2027 Financial</w:t>
      </w:r>
      <w:r>
        <w:rPr>
          <w:rFonts w:ascii="Times New Roman" w:hAnsi="Times New Roman"/>
          <w:color w:val="000000"/>
          <w:sz w:val="28"/>
        </w:rPr>
        <w:t xml:space="preserve"> </w:t>
      </w:r>
    </w:p>
    <w:p>
      <w:pPr>
        <w:pStyle w:val="TextBody"/>
        <w:bidi w:val="0"/>
        <w:spacing w:before="0" w:after="120"/>
        <w:jc w:val="center"/>
        <w:rPr>
          <w:rFonts w:ascii="Times New Roman" w:hAnsi="Times New Roman"/>
          <w:b/>
          <w:color w:val="000000"/>
          <w:sz w:val="28"/>
        </w:rPr>
      </w:pPr>
      <w:r>
        <w:rPr>
          <w:rFonts w:ascii="Times New Roman" w:hAnsi="Times New Roman"/>
          <w:b/>
          <w:color w:val="000000"/>
          <w:sz w:val="28"/>
        </w:rPr>
        <w:t>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1"/>
        </w:rPr>
      </w:pPr>
      <w:r>
        <w:rPr>
          <w:rFonts w:ascii="Times New Roman" w:hAnsi="Times New Roman"/>
          <w:b/>
          <w:color w:val="000000"/>
          <w:sz w:val="21"/>
        </w:rPr>
        <w:t>Annual Recurring Revenue increased 27% year-over-year to $899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1"/>
        </w:rPr>
      </w:pPr>
      <w:r>
        <w:rPr>
          <w:rFonts w:ascii="Times New Roman" w:hAnsi="Times New Roman"/>
          <w:b/>
          <w:color w:val="000000"/>
          <w:sz w:val="21"/>
        </w:rPr>
        <w:t>Q2 revenue increased 29% year-over-year to $221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1"/>
        </w:rPr>
      </w:pPr>
      <w:r>
        <w:rPr>
          <w:rFonts w:ascii="Times New Roman" w:hAnsi="Times New Roman"/>
          <w:b/>
          <w:color w:val="000000"/>
          <w:sz w:val="21"/>
        </w:rPr>
        <w:t>Results exceeded guidance across every metric</w:t>
      </w:r>
    </w:p>
    <w:p>
      <w:pPr>
        <w:pStyle w:val="TextBody"/>
        <w:bidi w:val="0"/>
        <w:jc w:val="left"/>
        <w:rPr/>
      </w:pPr>
      <w:r>
        <w:rPr/>
        <w:t> </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SANTA CLARA, Calif. – September 2, 2026 – Netskope, Inc. (NASDAQ: NTSK) a leader in modern security and networking for the cloud and AI era, today announced financial results for the second quarter of fiscal year 2027 ended July 31, 2026.</w:t>
      </w:r>
    </w:p>
    <w:p>
      <w:pPr>
        <w:pStyle w:val="TextBody"/>
        <w:bidi w:val="0"/>
        <w:spacing w:before="240" w:after="240"/>
        <w:jc w:val="both"/>
        <w:rPr/>
      </w:pPr>
      <w:r>
        <w:rPr>
          <w:color w:val="1F1F1F"/>
        </w:rPr>
        <w:t>“</w:t>
      </w:r>
      <w:r>
        <w:rPr>
          <w:rFonts w:ascii="Times New Roman" w:hAnsi="Times New Roman"/>
          <w:color w:val="1F1F1F"/>
          <w:sz w:val="21"/>
        </w:rPr>
        <w:t xml:space="preserve">We are pleased with our strong second quarter performance, exceeding our guidance across every metric. Our results were driven by continued differentiating organic innovation, and durable customer demand for our Netskope One platform across security, networking, analytics and AI,” said Sanjay Beri, CEO of Netskope. “We are encouraged by early traction with our AI Security solutions, validating that Netskope sits right at the intersection of cloud, AI, networking and security and is becoming part of the essential, adaptive fabric for the modern enterprise to adopt AI safely. With our rapid product innovation, we are well positioned to go after our massive market opportunity.” </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Second Quarter Fiscal 2027 Financial Highlights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1"/>
        </w:rPr>
      </w:pPr>
      <w:r>
        <w:rPr>
          <w:rFonts w:ascii="Times New Roman" w:hAnsi="Times New Roman"/>
          <w:b/>
          <w:color w:val="000000"/>
          <w:sz w:val="21"/>
        </w:rPr>
        <w:t xml:space="preserve">Annual Recurring Revenue (ARR): </w:t>
      </w:r>
      <w:r>
        <w:rPr>
          <w:rFonts w:ascii="Times New Roman" w:hAnsi="Times New Roman"/>
          <w:color w:val="000000"/>
          <w:sz w:val="21"/>
        </w:rPr>
        <w:t>ARR grew 27% year-over-year to $899 million as of July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b/>
          <w:color w:val="000000"/>
          <w:sz w:val="21"/>
        </w:rPr>
        <w:t>Revenue</w:t>
      </w:r>
      <w:r>
        <w:rPr>
          <w:rFonts w:ascii="Times New Roman" w:hAnsi="Times New Roman"/>
          <w:color w:val="000000"/>
          <w:sz w:val="21"/>
        </w:rPr>
        <w:t>: Q2 revenue was $220.5 million, an increase of 29% year-over-year.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b/>
          <w:color w:val="000000"/>
          <w:sz w:val="21"/>
        </w:rPr>
        <w:t>Gross Profit and Margin:</w:t>
      </w:r>
      <w:r>
        <w:rPr>
          <w:rFonts w:ascii="Times New Roman" w:hAnsi="Times New Roman"/>
          <w:color w:val="000000"/>
          <w:sz w:val="21"/>
        </w:rPr>
        <w:t xml:space="preserve"> GAAP gross profit was $163.0 million, compared to $123.2 million for the second quarter of fiscal 2026, and GAAP gross margin was 74%, compared to 72% for the second quarter of fiscal 2026. Non-GAAP gross profit was $169.1 million, compared to $127.3 million for the second quarter of fiscal 2026, and non-GAAP gross margin was 77%, compared to 75% for the second quarter of fiscal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b/>
          <w:color w:val="000000"/>
          <w:sz w:val="21"/>
        </w:rPr>
        <w:t xml:space="preserve">Loss from Operations and Operating Margin: </w:t>
      </w:r>
      <w:r>
        <w:rPr>
          <w:rFonts w:ascii="Times New Roman" w:hAnsi="Times New Roman"/>
          <w:color w:val="000000"/>
          <w:sz w:val="21"/>
        </w:rPr>
        <w:t>GAAP loss from operations was $(89.8) million, compared to a loss of $(46.0) million for the second quarter of fiscal 2026, and GAAP operating margin was (41)%, compared to (27)% for the second quarter of fiscal 2026. Non-GAAP loss from operations was $(19.3) million, compared to a loss of $(34.0) million for the second quarter of fiscal 2026, and non-GAAP operating margin was (9)%, compared to (20)% for the second quarter of fiscal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b/>
          <w:color w:val="000000"/>
          <w:sz w:val="21"/>
        </w:rPr>
        <w:t>Net Loss Per Share:</w:t>
      </w:r>
      <w:r>
        <w:rPr>
          <w:rFonts w:ascii="Times New Roman" w:hAnsi="Times New Roman"/>
          <w:color w:val="000000"/>
          <w:sz w:val="21"/>
        </w:rPr>
        <w:t xml:space="preserve"> GAAP net loss per share was $(0.27), compared to $(0.84) in the second quarter of fiscal 2026. Non-GAAP net loss per share was $(0.03), compared to $(0.32) in the second quarter of fiscal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1"/>
        </w:rPr>
      </w:pPr>
      <w:r>
        <w:rPr>
          <w:rFonts w:ascii="Times New Roman" w:hAnsi="Times New Roman"/>
          <w:b/>
          <w:color w:val="000000"/>
          <w:sz w:val="21"/>
        </w:rPr>
        <w:t>Cash Flow:</w:t>
      </w:r>
      <w:r>
        <w:rPr>
          <w:rFonts w:ascii="Times New Roman" w:hAnsi="Times New Roman"/>
          <w:color w:val="000000"/>
          <w:sz w:val="21"/>
        </w:rPr>
        <w:t xml:space="preserve"> Net cash used in operations was $(16.5) million, compared to $(16.9) million used in operations in the second quarter of fiscal 2026 and operating cash flow margin was (7)%, compared to (10)% in the second quarter of fiscal 2026. Free cash flow was $(29.8) million, compared to $(19.7) million in the second quarter of fiscal 2026 and free cash flow margin was (14)%, compared to (12)% in the second quarter of fiscal 2026.</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sz w:val="21"/>
        </w:rPr>
      </w:pPr>
      <w:r>
        <w:rPr>
          <w:rFonts w:ascii="Times New Roman" w:hAnsi="Times New Roman"/>
          <w:b/>
          <w:color w:val="000000"/>
          <w:sz w:val="21"/>
        </w:rPr>
        <w:t xml:space="preserve">Cash, Cash Equivalents, and Marketable Securities: </w:t>
      </w:r>
      <w:r>
        <w:rPr>
          <w:rFonts w:ascii="Times New Roman" w:hAnsi="Times New Roman"/>
          <w:color w:val="000000"/>
          <w:sz w:val="21"/>
        </w:rPr>
        <w:t>Total cash, cash equivalents, and marketable securities at the end of the second quarter of fiscal 2027 was $1.1 billion.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Recent Business Highlights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1"/>
        </w:rPr>
      </w:pPr>
      <w:r>
        <w:rPr>
          <w:rFonts w:ascii="Times New Roman" w:hAnsi="Times New Roman"/>
          <w:b/>
          <w:color w:val="000000"/>
          <w:sz w:val="21"/>
        </w:rPr>
        <w:t xml:space="preserve">Named a Leader in the Gartner® Magic Quadrant for Secure Access Service Edge (SASE) Platforms for the 3rd Year in a Row. </w:t>
      </w:r>
      <w:r>
        <w:rPr>
          <w:rFonts w:ascii="Times New Roman" w:hAnsi="Times New Roman"/>
          <w:color w:val="000000"/>
          <w:sz w:val="21"/>
        </w:rPr>
        <w:t>Netskope was positioned highest in Ability to Execute in Gartner’s report. In the corresponding Critical Capabilities report, Netskope is the only vendor ranked as the highest scoring for three Use Cases, including: Foundational SASE Platform Use Case, Zero Trust SASE Platform Use Case, and the new Sovereign SASE Use Case.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1"/>
        </w:rPr>
      </w:pPr>
      <w:r>
        <w:rPr>
          <w:rFonts w:ascii="Times New Roman" w:hAnsi="Times New Roman"/>
          <w:b/>
          <w:color w:val="000000"/>
          <w:sz w:val="21"/>
        </w:rPr>
        <w:t xml:space="preserve">Named a Leader in the Gartner® Magic Quadrant for Security Service Edge for the 5th Year in a Row. </w:t>
      </w:r>
      <w:r>
        <w:rPr>
          <w:rFonts w:ascii="Times New Roman" w:hAnsi="Times New Roman"/>
          <w:color w:val="000000"/>
          <w:sz w:val="21"/>
        </w:rPr>
        <w:t>Netskope has been named a Leader in every year this report has been published since its inception, consistently recognized both for its vision and its ability to execute.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Netskope joined NVIDIA’s Open Secure AI Alliance, a coalition of industry leaders committed to building open, frontier AI tools that defenders can inspect, adapt, and trust.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b/>
          <w:color w:val="000000"/>
          <w:sz w:val="21"/>
        </w:rPr>
      </w:pPr>
      <w:r>
        <w:rPr>
          <w:rFonts w:ascii="Times New Roman" w:hAnsi="Times New Roman"/>
          <w:b/>
          <w:color w:val="000000"/>
          <w:sz w:val="21"/>
        </w:rPr>
        <w:t>Continued to lead in innovation with new product releases, including: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1"/>
        </w:rPr>
      </w:pPr>
      <w:r>
        <w:rPr>
          <w:rFonts w:ascii="Times New Roman" w:hAnsi="Times New Roman"/>
          <w:b/>
          <w:color w:val="000000"/>
          <w:sz w:val="21"/>
        </w:rPr>
        <w:t xml:space="preserve">Netskope One DataSec Command Center, </w:t>
      </w:r>
      <w:r>
        <w:rPr>
          <w:rFonts w:ascii="Times New Roman" w:hAnsi="Times New Roman"/>
          <w:color w:val="000000"/>
          <w:sz w:val="21"/>
        </w:rPr>
        <w:t>a unified control plane that discovers, understands, tracks, and protects sensitive data wherever it lives and moves across AI environments, cloud, the network, on-premises, endpoint, email, and more.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sz w:val="21"/>
        </w:rPr>
      </w:pPr>
      <w:r>
        <w:rPr>
          <w:rFonts w:ascii="Times New Roman" w:hAnsi="Times New Roman"/>
          <w:b/>
          <w:color w:val="000000"/>
          <w:sz w:val="21"/>
        </w:rPr>
        <w:t xml:space="preserve">Advancements to NewEdge AI Fast Path, </w:t>
      </w:r>
      <w:r>
        <w:rPr>
          <w:rFonts w:ascii="Times New Roman" w:hAnsi="Times New Roman"/>
          <w:color w:val="000000"/>
          <w:sz w:val="21"/>
        </w:rPr>
        <w:t>which optimizes the network path between users, sites, and agents to AI destinations for faster inference results and minimizing time to first token (TTFT), accelerating complex multi-prompt agentic AI workflows, as well as optimizing LLM performance when accessing large volumes of data. AI Fast Path was shown to reduce latency by as much as 90% to popular AI destinations.</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Financial Outlook</w:t>
      </w:r>
    </w:p>
    <w:p>
      <w:pPr>
        <w:pStyle w:val="TextBody"/>
        <w:bidi w:val="0"/>
        <w:jc w:val="left"/>
        <w:rPr>
          <w:rFonts w:ascii="Times New Roman" w:hAnsi="Times New Roman"/>
          <w:color w:val="000000"/>
          <w:sz w:val="21"/>
        </w:rPr>
      </w:pPr>
      <w:r>
        <w:rPr>
          <w:rFonts w:ascii="Times New Roman" w:hAnsi="Times New Roman"/>
          <w:color w:val="000000"/>
          <w:sz w:val="21"/>
        </w:rPr>
        <w:t>Netskope is providing the following guidance for the third quarter and full year fiscal 2027:</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For the third quarter of fiscal 2027,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Revenue of $227 million to $229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Non-GAAP operating margin of approximately (8)%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Non-GAAP net loss per share of $(0.03) to $(0.04), using approximately 415 million weighted average common stock outstanding</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For the full year of fiscal 2027, we now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Total revenue of $888 million to $892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Non-GAAP gross margin of approximately 77%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Non-GAAP operating margin of approximately (9)%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Non-GAAP net loss per share of $(0.15), using approximately 415 million weighted average common stock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1"/>
        </w:rPr>
      </w:pPr>
      <w:r>
        <w:rPr>
          <w:rFonts w:ascii="Times New Roman" w:hAnsi="Times New Roman"/>
          <w:color w:val="000000"/>
          <w:sz w:val="21"/>
        </w:rPr>
        <w:t xml:space="preserve">Free cash flow margin of approximately 2% </w:t>
      </w:r>
    </w:p>
    <w:p>
      <w:pPr>
        <w:pStyle w:val="TextBody"/>
        <w:bidi w:val="0"/>
        <w:spacing w:before="120" w:after="120"/>
        <w:jc w:val="left"/>
        <w:rPr>
          <w:rFonts w:ascii="Times New Roman" w:hAnsi="Times New Roman"/>
          <w:color w:val="000000"/>
          <w:sz w:val="21"/>
        </w:rPr>
      </w:pPr>
      <w:r>
        <w:rPr>
          <w:rFonts w:ascii="Times New Roman" w:hAnsi="Times New Roman"/>
          <w:color w:val="000000"/>
          <w:sz w:val="21"/>
        </w:rPr>
        <w:t>These statements are forward-looking, and actual results may differ materially. Refer to the Forward-Looking Statements safe harbor below for information on the factors that could cause our actual results to differ materially from these forward-looking statements.</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 xml:space="preserve">A reconciliation of non-GAAP guidance measures to corresponding GAAP measures is not available on a forward-looking basis without unreasonable effort due to the uncertainty regarding, and the potential variability of, reconciling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1"/>
        </w:rPr>
      </w:pPr>
      <w:r>
        <w:rPr>
          <w:rFonts w:ascii="Times New Roman" w:hAnsi="Times New Roman"/>
          <w:color w:val="000000"/>
          <w:sz w:val="21"/>
        </w:rPr>
        <w:t>items that may be incurred in the future, such as stock-based compensation and related employer payroll taxes, the effect of which may be significant.</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Conference Call</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Netskope will host a conference call at 2:00 p.m. Pacific Time / 5:00 p.m. Eastern Time today to discuss its financial results and outlook. The conference call will be available via live webcast and replay at the Investor Relations section of Netskope’s website at investors.netskope.com.</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Supplemental Financial and Other Information</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Supplemental financial information can be accessed through Netskope’s investor relations website at investors.netskope.com.</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Conference Participation Schedule</w:t>
      </w:r>
    </w:p>
    <w:p>
      <w:pPr>
        <w:pStyle w:val="TextBody"/>
        <w:bidi w:val="0"/>
        <w:jc w:val="both"/>
        <w:rPr>
          <w:rFonts w:ascii="Times New Roman" w:hAnsi="Times New Roman"/>
          <w:color w:val="000000"/>
          <w:sz w:val="21"/>
        </w:rPr>
      </w:pPr>
      <w:r>
        <w:rPr>
          <w:rFonts w:ascii="Times New Roman" w:hAnsi="Times New Roman"/>
          <w:color w:val="000000"/>
          <w:sz w:val="21"/>
        </w:rPr>
        <w:t>Netskope will participate and present at the following upcoming investor conferences. Details of the events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1"/>
        </w:rPr>
      </w:pPr>
      <w:r>
        <w:rPr>
          <w:rFonts w:ascii="Times New Roman" w:hAnsi="Times New Roman"/>
          <w:b/>
          <w:color w:val="000000"/>
          <w:sz w:val="21"/>
        </w:rPr>
        <w:t xml:space="preserve">Piper Sandler 2026 Growth Frontiers Conference </w:t>
      </w:r>
      <w:r>
        <w:rPr>
          <w:rFonts w:ascii="Times New Roman" w:hAnsi="Times New Roman"/>
          <w:color w:val="000000"/>
          <w:sz w:val="21"/>
        </w:rPr>
        <w:t>- Tuesday, September 15, 2026, 1:00 p.m. Pacific Time / 3:00 p.m. Central Time</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sz w:val="21"/>
        </w:rPr>
      </w:pPr>
      <w:r>
        <w:rPr>
          <w:rFonts w:ascii="Times New Roman" w:hAnsi="Times New Roman"/>
          <w:b/>
          <w:color w:val="000000"/>
          <w:sz w:val="21"/>
        </w:rPr>
        <w:t>J.P. Morgan 2026 Software Forum</w:t>
      </w:r>
      <w:r>
        <w:rPr>
          <w:rFonts w:ascii="Times New Roman" w:hAnsi="Times New Roman"/>
          <w:color w:val="000000"/>
          <w:sz w:val="21"/>
        </w:rPr>
        <w:t xml:space="preserve"> - Friday, October 2, 2026, 10:00 a.m. Pacific Time</w:t>
      </w:r>
    </w:p>
    <w:p>
      <w:pPr>
        <w:pStyle w:val="TextBody"/>
        <w:bidi w:val="0"/>
        <w:spacing w:before="0" w:after="20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About Netskope</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Netskope (NASDAQ: NTSK), a leader in modern security and networking for the cloud and AI era, addresses the needs of both security and networking teams by providing optimized access and real-time, context-based security for the AI ecosystem inclusive of agents, applications, tools, LLMs, people, devices, and data. Thousands of customers, including more than 30% of the Fortune 100, trust the Netskope One platform, its Zero Trust Engine, and its powerful NewEdge network to reduce risk and gain full visibility and control over cloud, AI, SaaS, web, and private applications — providing security and accelerating performance without trade-offs. Learn more at netskope.com, on LinkedIn, and on Instagram.</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Forward-Looking Statements</w:t>
      </w:r>
    </w:p>
    <w:p>
      <w:pPr>
        <w:pStyle w:val="TextBody"/>
        <w:bidi w:val="0"/>
        <w:spacing w:before="40" w:after="200"/>
        <w:jc w:val="both"/>
        <w:rPr>
          <w:rFonts w:ascii="Times New Roman" w:hAnsi="Times New Roman"/>
          <w:color w:val="000000"/>
          <w:sz w:val="21"/>
        </w:rPr>
      </w:pPr>
      <w:r>
        <w:rPr>
          <w:rFonts w:ascii="Times New Roman" w:hAnsi="Times New Roman"/>
          <w:color w:val="000000"/>
          <w:sz w:val="21"/>
        </w:rPr>
        <w:t>This press release contains forward-looking statements that involve risks and uncertainties, including, but not limited to, statements regarding our future financial and operating performance, including our GAAP and non-GAAP guidance and financial outlook for the third quarter of fiscal 2027 and full year fiscal 2027, market opportunity and the demand for AI security products. There are a significant number of factors that could cause actual results to differ materially from statements made in this press release, including but not limited to: macroeconomic influences and instability, geopolitical events, operations and financial results and the economy in general; risks associated with scaling our business and managing our rapid growth; our ability to expand our partner relationships; our ability to identify and effectively implement the necessary changes to address execution challenges; our limited experience with new products and the risks associated with new product offerings, including adoption by customers and the discovery of software bugs; our ability to attract and retain new customers; the failure to timely develop and achieve market acceptance of new products as well as existing products; rapidly evolving technological developments in the market for security, networking, analytics and AI products and our ability to innovate and remain competitive; length of sales cycles; risks related to the use of AI in our platform; and general market, political, economic and business conditions, as well as those risks and uncertainties included in filings we make with the Securities and Exchange Commission from time to time.</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All forward-looking statements in this press release are based on information available to Netskope as of the date hereof, and we undertake no obligation to update these forward-looking statements, to review or confirm analysts’ expectations, or to provide interim reports or updates on the progress of the current financial quarter.</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color w:val="000000"/>
          <w:sz w:val="21"/>
        </w:rPr>
      </w:pPr>
      <w:r>
        <w:rPr>
          <w:rFonts w:ascii="Times New Roman" w:hAnsi="Times New Roman"/>
          <w:b/>
          <w:color w:val="000000"/>
          <w:sz w:val="21"/>
        </w:rPr>
        <w:t>Non-GAAP Financial Measures</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In addition to GAAP financial measures, this press release includes non-GAAP financial measures that we use to evaluate our business performance, identify trends affecting our business, formulate business plans and make strategic decisions. These non-GAAP financial measures include non-GAAP gross profit, non-GAAP gross margin, non-GAAP loss from operations, non-GAAP operating margin, non-GAAP net loss, non-GAAP net loss per share, free cash flow and free cash flow margin, and their respective definitions are presented below.</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There are limitations to the non-GAAP financial measures included in this press release, and they may not be comparable to similarly titled measures of other companies. The non-GAAP financial measures included in this press release should not be considered in isolation from or as a substitute for their most directly comparable GAAP financial measures. Our management believes that our non-GAAP financial measures provide meaningful supplemental information regarding our performance and liquidity by excluding certain expenses and income that may not be indicative of our ongoing core operating performance. We believe that both management and investors benefit from referring to these non-GAAP financial measures in assessing our performance and when analyzing historical performance and liquidity and when planning, forecasting and analyzing future periods.</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For a reconciliation of the non-GAAP financial measures presented for historical periods to their most directly comparable GAAP financial measures, please see the tables captioned "Reconciliation of GAAP to Non-GAAP Financial Information" included at the end of this press release. We encourage you to review the reconciliation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Non-GAAP Gross Profit and Non-GAAP Gross Margin</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We define non-GAAP gross profit as GAAP gross profit excluding stock-based compensation expense and related taxes, and amortization of acquired intangible assets. We define non-GAAP gross margin as non-GAAP gross profit as a percentage of revenue.</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Non-GAAP Loss from Operations and Non-GAAP Operating Margin</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We define non-GAAP loss from operations as GAAP loss from operations excluding stock-based compensation expense and related taxes, amortization of acquired intangible assets, and restructuring costs. We define non-GAAP operating margin as non-GAAP loss from operations as a percentage of revenue.</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Non-GAAP Net Loss</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We define non-GAAP net loss as GAAP net loss adjusted to exclude stock-based compensation expense and related taxes, amortization of acquired intangible assets, restructuring costs, gain or loss on fair value changes in convertible notes, and non-GAAP provision for (benefit from) income taxes.</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Non-GAAP Net Loss Per Share</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We define non-GAAP net loss per share as GAAP net loss per share, adjusted to exclude stock-based compensation expense and related taxes, amortization of acquired intangible assets, restructuring costs, gain or loss on fair value changes in convertible notes, and non-GAAP provision for (benefit from) income taxes.</w:t>
      </w:r>
    </w:p>
    <w:p>
      <w:pPr>
        <w:pStyle w:val="TextBody"/>
        <w:bidi w:val="0"/>
        <w:spacing w:before="0" w:after="160"/>
        <w:jc w:val="left"/>
        <w:rPr>
          <w:rFonts w:ascii="Times New Roman" w:hAnsi="Times New Roman"/>
          <w:b/>
          <w:color w:val="000000"/>
          <w:sz w:val="21"/>
        </w:rPr>
      </w:pPr>
      <w:r>
        <w:rPr>
          <w:rFonts w:ascii="Times New Roman" w:hAnsi="Times New Roman"/>
          <w:b/>
          <w:color w:val="000000"/>
          <w:sz w:val="21"/>
        </w:rPr>
        <w:t>Free Cash Flow and Free Cash Flow Margin</w:t>
      </w:r>
    </w:p>
    <w:p>
      <w:pPr>
        <w:pStyle w:val="TextBody"/>
        <w:bidi w:val="0"/>
        <w:spacing w:before="0" w:after="200"/>
        <w:jc w:val="left"/>
        <w:rPr>
          <w:rFonts w:ascii="Times New Roman" w:hAnsi="Times New Roman"/>
          <w:color w:val="000000"/>
          <w:sz w:val="21"/>
        </w:rPr>
      </w:pPr>
      <w:r>
        <w:rPr>
          <w:rFonts w:ascii="Times New Roman" w:hAnsi="Times New Roman"/>
          <w:color w:val="000000"/>
          <w:sz w:val="21"/>
        </w:rPr>
        <w:t>We define free cash flow as net cash provided by (used in) operating activities less purchase of property and equipment and capitalized internal-use software. Free cash flow margin is determined by dividing free cash flow by revenue. We believe free cash flow and free cash flow margin serve as valuable indicators of liquidity, as they provide our management, board of directors, and investors with insight into our ability to generate cash from our operations, strategic initiatives, and strengthening our balance sheet.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b/>
          <w:color w:val="000000"/>
          <w:sz w:val="21"/>
        </w:rPr>
      </w:pPr>
      <w:r>
        <w:rPr>
          <w:rFonts w:ascii="Times New Roman" w:hAnsi="Times New Roman"/>
          <w:b/>
          <w:color w:val="000000"/>
          <w:sz w:val="21"/>
        </w:rPr>
        <w:t>Annual Recurring Revenue</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We define Annual Recurring Revenue (ARR) as the annualized value of our cloud subscription contracts that are active as of the measurement date, assuming any contract that expires during the next 12 months is renewed on its existing terms. Provided that we are actively negotiating a renewal or new agreement with a customer after the expiration of a contract, we continue to include that contract's annualized value in ARR until the customer notifies us of their decision not to renew. ARR excludes non-recurring components of revenue such as professional services, training, sales of hardware, and other non-recurring revenue.</w:t>
      </w:r>
    </w:p>
    <w:p>
      <w:pPr>
        <w:pStyle w:val="TextBody"/>
        <w:bidi w:val="0"/>
        <w:spacing w:before="0" w:after="200"/>
        <w:jc w:val="left"/>
        <w:rPr>
          <w:rFonts w:ascii="Times New Roman" w:hAnsi="Times New Roman"/>
          <w:b/>
          <w:color w:val="000000"/>
          <w:sz w:val="21"/>
        </w:rPr>
      </w:pPr>
      <w:r>
        <w:rPr>
          <w:rFonts w:ascii="Times New Roman" w:hAnsi="Times New Roman"/>
          <w:b/>
          <w:color w:val="000000"/>
          <w:sz w:val="21"/>
        </w:rPr>
        <w:t>Gartner Disclaimer</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Gartner, Magic Quadrant for Security Service Edge, John Watts, Thomas Lintemuth, Theo de Feligonde, Jonathan Forest, 29 July 2026.</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Gartner, Magic Quadrant for SASE Platforms, Jonathan Forest, Andrew Lerner, John Watts, 28 July 2026.</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Gartner, Critical Capabilities for Security Service Edge, Thomas Lintemuth, Theo de Feligonde, John Watts, Jonathan Forest, 3 August 2026.</w:t>
      </w:r>
    </w:p>
    <w:p>
      <w:pPr>
        <w:pStyle w:val="TextBody"/>
        <w:bidi w:val="0"/>
        <w:spacing w:before="0" w:after="120"/>
        <w:jc w:val="both"/>
        <w:rPr>
          <w:rFonts w:ascii="Times New Roman" w:hAnsi="Times New Roman"/>
          <w:color w:val="000000"/>
          <w:sz w:val="21"/>
        </w:rPr>
      </w:pPr>
      <w:r>
        <w:rPr>
          <w:rFonts w:ascii="Times New Roman" w:hAnsi="Times New Roman"/>
          <w:color w:val="000000"/>
          <w:sz w:val="21"/>
        </w:rPr>
        <w:t>Gartner and Magic Quadrant are trademarks of Gartner, Inc. and/or its affiliates.</w:t>
      </w:r>
    </w:p>
    <w:p>
      <w:pPr>
        <w:pStyle w:val="TextBody"/>
        <w:bidi w:val="0"/>
        <w:spacing w:before="0" w:after="200"/>
        <w:jc w:val="both"/>
        <w:rPr>
          <w:rFonts w:ascii="Times New Roman" w:hAnsi="Times New Roman"/>
          <w:color w:val="000000"/>
          <w:sz w:val="21"/>
        </w:rPr>
      </w:pPr>
      <w:r>
        <w:rPr>
          <w:rFonts w:ascii="Times New Roman" w:hAnsi="Times New Roman"/>
          <w:color w:val="000000"/>
          <w:sz w:val="21"/>
        </w:rPr>
        <w:t>Gartner does not endorse any company, vendor, product or service depicted in its publications, and does not advise technology users to select only those vendors with the highest ratings or other designation. Gartner publications consist of the opinions of Gartner’s business and technology insights organization and should not be construed as statements of fact. Gartner disclaims all warranties, expressed or implied, with respect to this publication, including any warranties of merchantability or fitness for a particular purpose.</w:t>
      </w:r>
    </w:p>
    <w:p>
      <w:pPr>
        <w:pStyle w:val="TextBody"/>
        <w:bidi w:val="0"/>
        <w:jc w:val="left"/>
        <w:rPr>
          <w:rFonts w:ascii="Times New Roman" w:hAnsi="Times New Roman"/>
          <w:b/>
          <w:color w:val="000000"/>
          <w:sz w:val="21"/>
        </w:rPr>
      </w:pPr>
      <w:r>
        <w:rPr>
          <w:rFonts w:ascii="Times New Roman" w:hAnsi="Times New Roman"/>
          <w:b/>
          <w:color w:val="000000"/>
          <w:sz w:val="21"/>
        </w:rPr>
        <w:t>Investor Relations Contact:</w:t>
      </w:r>
    </w:p>
    <w:p>
      <w:pPr>
        <w:pStyle w:val="TextBody"/>
        <w:bidi w:val="0"/>
        <w:jc w:val="left"/>
        <w:rPr>
          <w:rFonts w:ascii="Times New Roman" w:hAnsi="Times New Roman"/>
          <w:color w:val="000000"/>
          <w:sz w:val="21"/>
        </w:rPr>
      </w:pPr>
      <w:r>
        <w:rPr>
          <w:rFonts w:ascii="Times New Roman" w:hAnsi="Times New Roman"/>
          <w:color w:val="000000"/>
          <w:sz w:val="21"/>
        </w:rPr>
        <w:t>Floris van der Veer</w:t>
      </w:r>
    </w:p>
    <w:p>
      <w:pPr>
        <w:pStyle w:val="TextBody"/>
        <w:bidi w:val="0"/>
        <w:jc w:val="left"/>
        <w:rPr>
          <w:rFonts w:ascii="Times New Roman" w:hAnsi="Times New Roman"/>
          <w:color w:val="000000"/>
          <w:sz w:val="21"/>
        </w:rPr>
      </w:pPr>
      <w:r>
        <w:rPr>
          <w:rFonts w:ascii="Times New Roman" w:hAnsi="Times New Roman"/>
          <w:color w:val="000000"/>
          <w:sz w:val="21"/>
        </w:rPr>
        <w:t>Director of Investor Relations, Netskope</w:t>
      </w:r>
    </w:p>
    <w:p>
      <w:pPr>
        <w:pStyle w:val="TextBody"/>
        <w:bidi w:val="0"/>
        <w:jc w:val="left"/>
        <w:rPr>
          <w:rFonts w:ascii="Times New Roman" w:hAnsi="Times New Roman"/>
          <w:color w:val="000000"/>
          <w:sz w:val="21"/>
        </w:rPr>
      </w:pPr>
      <w:r>
        <w:rPr>
          <w:rFonts w:ascii="Times New Roman" w:hAnsi="Times New Roman"/>
          <w:color w:val="000000"/>
          <w:sz w:val="21"/>
        </w:rPr>
        <w:t>IR@netskope.com</w:t>
      </w:r>
    </w:p>
    <w:p>
      <w:pPr>
        <w:pStyle w:val="TextBody"/>
        <w:bidi w:val="0"/>
        <w:jc w:val="left"/>
        <w:rPr>
          <w:rFonts w:ascii="Times New Roman" w:hAnsi="Times New Roman"/>
          <w:b/>
          <w:color w:val="000000"/>
          <w:sz w:val="21"/>
        </w:rPr>
      </w:pPr>
      <w:r>
        <w:rPr>
          <w:rFonts w:ascii="Times New Roman" w:hAnsi="Times New Roman"/>
          <w:b/>
          <w:color w:val="000000"/>
          <w:sz w:val="21"/>
        </w:rPr>
        <w:t>Media Contact:</w:t>
      </w:r>
    </w:p>
    <w:p>
      <w:pPr>
        <w:pStyle w:val="TextBody"/>
        <w:bidi w:val="0"/>
        <w:jc w:val="left"/>
        <w:rPr>
          <w:rFonts w:ascii="Times New Roman" w:hAnsi="Times New Roman"/>
          <w:color w:val="000000"/>
          <w:sz w:val="21"/>
        </w:rPr>
      </w:pPr>
      <w:r>
        <w:rPr>
          <w:rFonts w:ascii="Times New Roman" w:hAnsi="Times New Roman"/>
          <w:color w:val="000000"/>
          <w:sz w:val="21"/>
        </w:rPr>
        <w:t>Tim Whitman</w:t>
      </w:r>
    </w:p>
    <w:p>
      <w:pPr>
        <w:pStyle w:val="TextBody"/>
        <w:bidi w:val="0"/>
        <w:jc w:val="left"/>
        <w:rPr>
          <w:rFonts w:ascii="Times New Roman" w:hAnsi="Times New Roman"/>
          <w:color w:val="000000"/>
          <w:sz w:val="21"/>
        </w:rPr>
      </w:pPr>
      <w:r>
        <w:rPr>
          <w:rFonts w:ascii="Times New Roman" w:hAnsi="Times New Roman"/>
          <w:color w:val="000000"/>
          <w:sz w:val="21"/>
        </w:rPr>
        <w:t>Director of Global Corporate Communications, Netskope</w:t>
      </w:r>
    </w:p>
    <w:p>
      <w:pPr>
        <w:pStyle w:val="TextBody"/>
        <w:bidi w:val="0"/>
        <w:jc w:val="left"/>
        <w:rPr>
          <w:rFonts w:ascii="Times New Roman" w:hAnsi="Times New Roman"/>
          <w:color w:val="000000"/>
          <w:sz w:val="21"/>
        </w:rPr>
      </w:pPr>
      <w:r>
        <w:rPr>
          <w:rFonts w:ascii="Times New Roman" w:hAnsi="Times New Roman"/>
          <w:color w:val="000000"/>
          <w:sz w:val="21"/>
        </w:rPr>
        <w:t>press@netskope.com</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6704" w:type="dxa"/>
        <w:jc w:val="left"/>
        <w:tblInd w:w="0" w:type="dxa"/>
        <w:tblLayout w:type="fixed"/>
        <w:tblCellMar>
          <w:top w:w="28" w:type="dxa"/>
          <w:left w:w="28" w:type="dxa"/>
          <w:bottom w:w="28" w:type="dxa"/>
          <w:right w:w="28" w:type="dxa"/>
        </w:tblCellMar>
      </w:tblPr>
      <w:tblGrid>
        <w:gridCol w:w="3471"/>
        <w:gridCol w:w="146"/>
        <w:gridCol w:w="196"/>
        <w:gridCol w:w="886"/>
        <w:gridCol w:w="166"/>
        <w:gridCol w:w="146"/>
        <w:gridCol w:w="196"/>
        <w:gridCol w:w="886"/>
        <w:gridCol w:w="61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725,603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1,448,967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contract acquisition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1,772,292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532,732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681,532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1,577,761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2,888,202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(2,628,900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1,772,292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NETSKOPE, INC.</w:t>
      </w:r>
    </w:p>
    <w:p>
      <w:pPr>
        <w:pStyle w:val="TextBody"/>
        <w:bidi w:val="0"/>
        <w:jc w:val="center"/>
        <w:rPr>
          <w:rFonts w:ascii="Times New Roman" w:hAnsi="Times New Roman"/>
          <w:b/>
          <w:caps/>
          <w:color w:val="000000"/>
          <w:sz w:val="20"/>
        </w:rPr>
      </w:pPr>
      <w:r>
        <w:rPr>
          <w:rFonts w:ascii="Times New Roman" w:hAnsi="Times New Roman"/>
          <w:b/>
          <w:caps/>
          <w:color w:val="000000"/>
          <w:sz w:val="20"/>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4"/>
        <w:gridCol w:w="146"/>
        <w:gridCol w:w="196"/>
        <w:gridCol w:w="1006"/>
        <w:gridCol w:w="166"/>
        <w:gridCol w:w="146"/>
        <w:gridCol w:w="196"/>
        <w:gridCol w:w="1006"/>
        <w:gridCol w:w="166"/>
        <w:gridCol w:w="146"/>
        <w:gridCol w:w="196"/>
        <w:gridCol w:w="1006"/>
        <w:gridCol w:w="166"/>
        <w:gridCol w:w="146"/>
        <w:gridCol w:w="196"/>
        <w:gridCol w:w="1006"/>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Cost of revenue</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16"/>
              </w:rPr>
              <w:t>Research and development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Weighted-average shares used in computing net loss per share </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405,045,835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108,096,178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402,802,925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106,429,655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Includes stock-based compensation expense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9804" w:type="dxa"/>
        <w:jc w:val="left"/>
        <w:tblInd w:w="0" w:type="dxa"/>
        <w:tblLayout w:type="fixed"/>
        <w:tblCellMar>
          <w:top w:w="28" w:type="dxa"/>
          <w:left w:w="28" w:type="dxa"/>
          <w:bottom w:w="28" w:type="dxa"/>
          <w:right w:w="28" w:type="dxa"/>
        </w:tblCellMar>
      </w:tblPr>
      <w:tblGrid>
        <w:gridCol w:w="6441"/>
        <w:gridCol w:w="146"/>
        <w:gridCol w:w="196"/>
        <w:gridCol w:w="751"/>
        <w:gridCol w:w="166"/>
        <w:gridCol w:w="146"/>
        <w:gridCol w:w="196"/>
        <w:gridCol w:w="751"/>
        <w:gridCol w:w="1011"/>
      </w:tblGrid>
      <w:tr>
        <w:trPr/>
        <w:tc>
          <w:tcPr>
            <w:tcW w:w="6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July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operating 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discount) amortization of premium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52,901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withholding taxes upon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holdback consideration on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44,799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211,996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NETSKOPE,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INFORMATION</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percentage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20"/>
        <w:gridCol w:w="146"/>
        <w:gridCol w:w="196"/>
        <w:gridCol w:w="751"/>
        <w:gridCol w:w="166"/>
        <w:gridCol w:w="241"/>
        <w:gridCol w:w="146"/>
        <w:gridCol w:w="196"/>
        <w:gridCol w:w="691"/>
        <w:gridCol w:w="166"/>
        <w:gridCol w:w="241"/>
        <w:gridCol w:w="146"/>
        <w:gridCol w:w="196"/>
        <w:gridCol w:w="751"/>
        <w:gridCol w:w="166"/>
        <w:gridCol w:w="241"/>
        <w:gridCol w:w="146"/>
        <w:gridCol w:w="196"/>
        <w:gridCol w:w="751"/>
        <w:gridCol w:w="166"/>
        <w:gridCol w:w="286"/>
      </w:tblGrid>
      <w:tr>
        <w:trPr/>
        <w:tc>
          <w:tcPr>
            <w:tcW w:w="4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profit reconciliation: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Sales and marketing expense reconciliation: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 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sales and marketing expense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Research and development expense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 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research and development expense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General and administrative expense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 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general and administrative expense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reconciliation: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fair value changes in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and diluted EPS reconciliation: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fair value changes in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Note: Certain figures may not sum due to 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SELECTED CASH FLOW INFORMATION</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490"/>
        <w:gridCol w:w="146"/>
        <w:gridCol w:w="196"/>
        <w:gridCol w:w="661"/>
        <w:gridCol w:w="166"/>
        <w:gridCol w:w="241"/>
        <w:gridCol w:w="146"/>
        <w:gridCol w:w="196"/>
        <w:gridCol w:w="661"/>
        <w:gridCol w:w="166"/>
        <w:gridCol w:w="241"/>
        <w:gridCol w:w="146"/>
        <w:gridCol w:w="196"/>
        <w:gridCol w:w="751"/>
        <w:gridCol w:w="166"/>
        <w:gridCol w:w="241"/>
        <w:gridCol w:w="146"/>
        <w:gridCol w:w="196"/>
        <w:gridCol w:w="601"/>
        <w:gridCol w:w="166"/>
        <w:gridCol w:w="286"/>
      </w:tblGrid>
      <w:tr>
        <w:trPr/>
        <w:tc>
          <w:tcPr>
            <w:tcW w:w="4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Reconciliation of cash (used in) provided by operating activities to free </w:t>
              <w:br/>
              <w:t>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cash flow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Note: Certain figures may not sum due to 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4610</Words>
  <Characters>25243</Characters>
  <CharactersWithSpaces>30739</CharactersWithSpaces>
  <Paragraphs>2892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