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Griffith William J.G.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09"/>
        <w:gridCol w:w="780"/>
        <w:gridCol w:w="603"/>
        <w:gridCol w:w="337"/>
        <w:gridCol w:w="1142"/>
        <w:gridCol w:w="418"/>
        <w:gridCol w:w="583"/>
        <w:gridCol w:w="1335"/>
        <w:gridCol w:w="957"/>
        <w:gridCol w:w="11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3,085,037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10,084,248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2,414,963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7,893,934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916,690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583,863</w:t>
            </w:r>
            <w:r>
              <w:rPr>
                <w:rFonts w:ascii="Times;serif" w:hAnsi="Times;serif"/>
                <w:color w:val="008000"/>
                <w:position w:val="7"/>
                <w:sz w:val="16"/>
                <w:sz w:val="20"/>
                <w:shd w:fill="FFFFFF" w:val="clear"/>
              </w:rPr>
              <w:t>(5)</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16, 2026, ICONIQ Strategic Partners II, L.P. distributed, for no consideration, in the aggregate 3,085,037 shares of the Issuer's Class A Common Stock (the "ICONIQ II Shares") to its limited partners and to ICONIQ Strategic Partners II GP, L.P. ("ICONIQ GP II"), representing each such partner's pro rata interest in such ICONIQ II Shares. On the same date, ICONIQ GP II distributed, for no consideration, the ICONIQ II Shares it received in the distribution by ICONIQ II to its partners, representing each such partner's pro rata interest in such ICONIQ II Shares. All of the aforementioned distributions were made in accordance with the exemptions afforded by Rules 16a-13 and 16a-9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the Reporting Person are the sole equity holders of ICONIQ Parent GP II and the sole managing members of ICONIQ Parent GP VIII, and Divesh Makan, the Reporting Person and Matthew Jacobson are the sole equity holders of ICONIQ Parent GP VI. The Reporting Person disclaims beneficial ownership of the securities reported herein for purposes of Section 16 of the Exchange Act, except to the extent of its or his pecuniary interest therein, if any. This report shall not be deemed an admission that the Reporting Person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16, 2026, ICONIQ Strategic Partners II-B, L.P. distributed, for no consideration, in the aggregate 2,414,963 shares of the Issuer's Class A Common Stock (the "ICONIQ II-B Shares") to its limited partners and to ICONIQ GP II, representing each such partner's pro rata interest in such ICONIQ II-B Shares. On the same date, ICONIQ GP II distributed, for no consideration, the ICONIQ II-B Shares it received in the distribution by ICONIQ II-B to its partners, representing each such partner's pro rata interest in such ICONIQ II-B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Reporting Person through his family trust of which he is a trustee and another estate planning trust having an independent trustee. Represents an aggregate of 583,863 ICONIQ II Shares and ICONIQ II-B Shares received in the distributions described herein. The Reporting Person disclaims beneficial ownership of the shares held by such trusts for purposes of Section 16 of the Exchange Act, except to the extent of his pecuniary interest therein, if any. This report shall not be deemed an admission that the Reporting Person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J.G. Griffith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124"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1262</Words>
  <Characters>6668</Characters>
  <CharactersWithSpaces>7826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