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ICONIQ Strategic Partners VIII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 STE.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Netskope Inc</w:t>
              </w:r>
            </w:hyperlink>
            <w:r>
              <w:rPr/>
              <w:t xml:space="preserve"> [ </w:t>
            </w:r>
            <w:r>
              <w:rPr>
                <w:rFonts w:ascii="Times;serif" w:hAnsi="Times;serif"/>
                <w:color w:val="0000FF"/>
                <w:sz w:val="24"/>
                <w:shd w:fill="FFFFFF" w:val="clear"/>
              </w:rPr>
              <w:t>NTSK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4"/>
        <w:gridCol w:w="905"/>
        <w:gridCol w:w="778"/>
        <w:gridCol w:w="601"/>
        <w:gridCol w:w="330"/>
        <w:gridCol w:w="984"/>
        <w:gridCol w:w="401"/>
        <w:gridCol w:w="981"/>
        <w:gridCol w:w="1314"/>
        <w:gridCol w:w="935"/>
        <w:gridCol w:w="11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241,628</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12.255</w:t>
            </w:r>
            <w:r>
              <w:rPr>
                <w:rFonts w:ascii="Times;serif" w:hAnsi="Times;serif"/>
                <w:color w:val="008000"/>
                <w:position w:val="7"/>
                <w:sz w:val="16"/>
                <w:sz w:val="20"/>
                <w:shd w:fill="FFFFFF" w:val="clear"/>
              </w:rPr>
              <w:t>(1)</w:t>
            </w:r>
            <w:r>
              <w:rPr/>
              <w:t xml:space="preserve"> </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851,919</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64,771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12.4214</w:t>
            </w:r>
            <w:r>
              <w:rPr>
                <w:rFonts w:ascii="Times;serif" w:hAnsi="Times;serif"/>
                <w:color w:val="008000"/>
                <w:position w:val="7"/>
                <w:sz w:val="16"/>
                <w:sz w:val="20"/>
                <w:shd w:fill="FFFFFF" w:val="clear"/>
              </w:rPr>
              <w:t>(4)</w:t>
            </w:r>
            <w:r>
              <w:rPr/>
              <w:t xml:space="preserve"> </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916,690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8,723,318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L.P.</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12,854,199</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VI-B, L.P.</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18,872,434</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Co-Invest, L.P. (Series NS)</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13,169,285</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L.P.</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10,308,897</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II-B, L.P.</w:t>
            </w:r>
          </w:p>
        </w:tc>
      </w:tr>
      <w:tr>
        <w:trPr/>
        <w:tc>
          <w:tcPr>
            <w:tcW w:w="18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2,339,380</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Co-Invest, L.P. (Series NS)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ICONIQ Strategic Partners VIII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 STE.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ICONIQ Strategic Partners VIII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ICONIQ Strategic Partners VIII TT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Makan Divesh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$12.17 to $12.30. Full information regarding the number of shares purchased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ICONIQ Strategic Partners II GP, L.P. ("ICONIQ GP II") is the sole general partner of ICONIQ Strategic Partners II, L.P., ICONIQ Strategic Partners II-B, L.P., and ICONIQ Strategic Partners II Co-Invest, L.P. (Series NS). ICONIQ Strategic Partners II TT GP, Ltd. ("ICONIQ Parent GP II") is the sole general partner of ICONIQ GP II. ICONIQ Strategic Partners VI GP, L.P. ("ICONIQ GP VI") is the sole general partner of ICONIQ Strategic Partners VI, L.P., ICONIQ Strategic Partners VI-B, L.P. and ICONIQ Strategic Partners VI Co-Invest, L.P. (Series NS). ICONIQ Strategic Partners VI TT GP, Ltd. ("ICONIQ Parent GP VI") is the sole general partner of ICONIQ GP VI. ICONIQ Strategic Partners VIII GP, L.P. ("ICONIQ GP VIII") is the sole general partner of ICONIQ Strategic Partners VIII Holdings, L.P. ICONIQ Strategic Partners VIII TT GP, LLC ("ICONIQ Parent GP VIII") is the sole general partner of ICONIQ GP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Divesh Makan and William J.G. Griffith are the sole equity holders of ICONIQ Parent GP II and the sole managing members of ICONIQ Parent GP VIII, and Divesh Makan, William J.G. Griffith and Matthew Jacobson are the sole equity holders of ICONIQ Parent GP VI. Each of ICONIQ GP II, ICONIQ Parent GP II, ICONIQ GP VI, ICONIQ Parent GP VI, ICONIQ GP VIII, ICONIQ Parent GP VIII and Messrs. Makan, Griffith and Jacobson disclaims beneficial ownership of the securities reported herein for purposes of Section 16 of the Securities Exchange Act of 1934, as amended (the "Exchange Act"), except to the extent of its or his pecuniary interest therein, if any. This report shall not be deemed an admission that any of the Reporting Persons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purchased in multiple transactions at prices ranging from $12.35 to $12.50. Full information regarding the number of shares purchased at each separate price can be furnished to the SEC staff upon request.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VIII Holdings, L.P., By: ICONIQ Strategic Partners VIII GP, L.P., By: ICONIQ Strategic Partners VIII TT GP, LLC,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VIII GP, L.P., By: ICONIQ Strategic Partners VIII TT GP, LLC,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VIII TT GP, LLC,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Divesh Makan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4668" TargetMode="External"/><Relationship Id="rId5" Type="http://schemas.openxmlformats.org/officeDocument/2006/relationships/hyperlink" Target="http://www.sec.gov/cgi-bin/browse-edgar?action=getcompany&amp;CIK=0002063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144668" TargetMode="External"/><Relationship Id="rId9" Type="http://schemas.openxmlformats.org/officeDocument/2006/relationships/hyperlink" Target="http://www.sec.gov/cgi-bin/browse-edgar?action=getcompany&amp;CIK=0002144658" TargetMode="External"/><Relationship Id="rId10" Type="http://schemas.openxmlformats.org/officeDocument/2006/relationships/hyperlink" Target="http://www.sec.gov/cgi-bin/browse-edgar?action=getcompany&amp;CIK=0002144660" TargetMode="External"/><Relationship Id="rId11" Type="http://schemas.openxmlformats.org/officeDocument/2006/relationships/hyperlink" Target="http://www.sec.gov/cgi-bin/browse-edgar?action=getcompany&amp;CIK=0001688143"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1242</Words>
  <Characters>6589</Characters>
  <CharactersWithSpaces>7687</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