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Netskope,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Venture Partners IX,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20,231,286.00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20,231,286.00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20,231,286.00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5.0%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General Partner IX,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20,231,286.00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20,231,286.00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20,231,286.00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5.0%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Ultimate General Partner IX,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20,231,286.00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20,231,286.00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20,231,286.00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5.0%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Venture Partners Select,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8,818,610.00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8,818,610.00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8,818,610.00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2.2%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General Partner Select,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8,818,610.00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8,818,610.00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8,818,610.00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2.2%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Ultimate General Partner Select,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8,818,610.00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8,818,610.00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8,818,610.00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2.2%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Venture Partners Select 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7,508,890.00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7,508,890.00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7,508,890.00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1.9%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General Partner Select 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7,508,890.00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7,508,890.00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7,508,890.00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1.9%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Ultimate General Partner Select II,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7,508,890.00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7,508,890.00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7,508,890.00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1.9%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SPV 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15,608,645.00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15,608,645.00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15,608,645.00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3.9%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SPV II-B,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7,765,561.00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7,765,561.00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7,765,561.00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1.9%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LS SPV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23,374,206.00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23,374,206.00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23,374,206.00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5.8%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Opportunity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2,690,640.00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2,690,640.00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2,690,640.00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0.7%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General Partner Opportunity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2,690,640.00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2,690,640.00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2,690,640.00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0.7%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Ultimate General Partner Opportunity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2,690,640.00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2,690,640.00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2,690,640.00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0.7%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Venture Partners XII,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219,075.00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219,075.00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219,075.00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0.1%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General Partner XII,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219,075.00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219,075.00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219,075.00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0.1%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Ultimate General Partner XII,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219,075.00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219,075.00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219,075.00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0.1%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LSS Fund II,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0.0%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Scout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percentage in Row 11 is determined based on the Issuer's outstanding Class A Common Stock. The shares beneficially owned by the Reporting Person represent 0.0% of the total outstanding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item1to9"/>
      <w:bookmarkStart w:id="87" w:name="item1to9"/>
      <w:bookmarkEnd w:id="87"/>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Netskope,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2445 Augustine Drive, Suite 301, Santa Clara, CA, 95054.</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Lightspeed Venture Partners IX, L.P. ("Lightspeed IX") Lightspeed General Partner IX, L.P. ("LGP IX") Lightspeed Ultimate General Partner IX, Ltd. ("LUGP IX") Lightspeed Venture Partners Select, L.P. ("Lightspeed Select") Lightspeed General Partner Select, L.P. ("LGP Select") Lightspeed Ultimate General Partner Select, Ltd. ("LUGP Select") Lightspeed Venture Partners Select II, L.P. ("Lightspeed Select II") Lightspeed General Partner Select II, L.P. ("LGP Select II") Lightspeed Ultimate General Partner Select II, Ltd. ("LUGP Select II") Lightspeed SPV II, LLC ("Lightspeed SPV II") Lightspeed SPV II-B, LLC ("Lightspeed SPV II-B") LS SPV Management, LLC ("LS SPV Mgmt") Lightspeed Opportunity Fund, L.P.("Opportunity") Lightspeed General Partner Opportunity Fund, L.P.("Opportunity GP") Lightspeed Ultimate General Partner Opportunity Fund, Ltd.("Opportunity UGP") Lightspeed Venture Partners XII, L.P. ("Lightspeed XII") Lightspeed General Partner XII, L.P. ("LGP XII") Lightspeed Ultimate General Partner XII, Ltd. ("LUGP XII") LSS Fund II, LLC ("LSS Fund II") Lightspeed Scout Management, LLC ("Scout Mgmt")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Lightspeed Venture Partners 2200 Sand Hill Road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Lightspeed IX Cayman Islands LGP IX Cayman Islands LUGP IX Cayman Islands Lightspeed Select Cayman Islands LGP Select Cayman Islands LUGP Select Cayman Islands Lightspeed Select II Cayman Islands LGP Select II Cayman Islands LUGP Select II Cayman Islands Lightspeed SPV II Delaware Lightspeed SPV II-B Delaware LS SPV Mgmt Delaware Opportunity Cayman Islands Opportunity GP Cayman Islands Opportunity UGP Cayman Islands Lightspeed XII Cayman Islands LGP XII Cayman Islands LUGP XII Cayman Islands LSS Fund II Delaware Scout Mgmt Delaware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 sets forth the aggregate number of shares of Class A common stock of the Issuer beneficially owned by such Reporting Person as of June 30, 2026 and is incorporated by reference. The Reporting Persons' ownership of the Issuer's securities consists of (i) 20,231,286 shares of Class B common stock directly held by Lightspeed IX; (ii) 8,818,610 shares of Class B common stock directly held by Lightspeed Select; (iii) 7,508,890 shares of Class B common stock directly held by Lightspeed Select II; (iv) 15,608,645 shares of Class B common stock directly held by Lightspeed SPV II; (v) 7,765,561 shares of Class B common stock directly held by Lightspeed SPV II-B; (vi) 2,690,640 shares of Class B common stock directly held by Opportunity; (vii) 219,075 shares of Class B common stock directly held by Lightspeed XII; and (viii) 500 shares of Class B common stock directly held by LSS Fund II. Collectively, the Reporting Persons beneficially own an aggregate of 62,843,207 shares of Class B common stock. LUGP IX serves as the sole general partner of LGP IX, which serves as the sole general partner of Lightspeed IX. LUGP Select serves as the sole general partner of LGP Select, which serves as the sole general partner of Lightspeed Select. LUGP Select II serves as the sole general partner of LGP Select II, which serves as the sole general partner of Lightspeed Select II. LS SPV Mgmt serves as the manager of each of Lightspeed SPV II and Lightspeed SPV II-B. Opportunity UGP serves as the sole general partner of Opportunity GP, which serves as the sole general partner of Opportunity. LUGP XII serves as the sole general partner of LGP XII, which serves as the sole general partner of Lightspeed XII. Scout Mgmt serves as the manager of LSS Fund II.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Class A common stock of the Issuer beneficially owned by such Reporting Person as of June 30, 2026 and is incorporated by reference. Collectively, the Reporting Persons beneficially own 15.6% of the common stock and 19.9% of the Class A common stock. The foregoing percentages are based upon a total of 405,573,649 shares of common stock (253,471,667 shares of Class A common stock and 152,101,982 shares of Class B common stock) outstanding as of May 26, 2026, as reported in the Issuer's Quarterly Report on Form 10-Q filed with the Securities and Exchange Commission (the "SEC") on June 3, 2026 (adjusted to reflect conversions of Class B common stock by the Reporting Persons between May 26, 2026 and June 30, 2026. With respect to the percentage of Class A common stock, in each case, the shares outstanding has been adjusted in accordance with rules of the SEC, to give effect to the full conversion of Class B common stock beneficially owned by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certifications"/>
      <w:bookmarkStart w:id="89" w:name="certifications"/>
      <w:bookmarkEnd w:id="8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signatureInfo"/>
      <w:bookmarkStart w:id="91" w:name="signatureInfo"/>
      <w:bookmarkEnd w:id="9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Lightspeed Venture Partners IX, L.P.</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1</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Lightspeed General Partner IX, L.P.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Ravi Mhatre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Lightspeed Ultimate General Partner IX, Ltd., its General Partner, By Ravi Mhatre,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Lightspeed Ultimate General Partner IX, Ltd.</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8384" w:type="dxa"/>
        <w:jc w:val="left"/>
        <w:tblInd w:w="0" w:type="dxa"/>
        <w:tblLayout w:type="fixed"/>
        <w:tblCellMar>
          <w:top w:w="28" w:type="dxa"/>
          <w:left w:w="28" w:type="dxa"/>
          <w:bottom w:w="28" w:type="dxa"/>
          <w:right w:w="28" w:type="dxa"/>
        </w:tblCellMar>
      </w:tblPr>
      <w:tblGrid>
        <w:gridCol w:w="4192"/>
        <w:gridCol w:w="4192"/>
      </w:tblGrid>
      <w:tr>
        <w:trPr/>
        <w:tc>
          <w:tcPr>
            <w:tcW w:w="4192" w:type="dxa"/>
            <w:tcBorders/>
            <w:vAlign w:val="center"/>
          </w:tcPr>
          <w:p>
            <w:pPr>
              <w:pStyle w:val="TableContents"/>
              <w:bidi w:val="0"/>
              <w:spacing w:before="0" w:after="0"/>
              <w:jc w:val="left"/>
              <w:rPr/>
            </w:pPr>
            <w:r>
              <w:rPr/>
              <w:t> </w:t>
            </w:r>
          </w:p>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0"/>
                    <w:jc w:val="left"/>
                    <w:rPr/>
                  </w:pPr>
                  <w:r>
                    <w:rPr/>
                    <w:t>Lightspeed Venture Partners Select, L.P.</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2</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Lightspeed General Partner Select, L.P.</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Ravi Mhatre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Lightspeed Ultimate General Partner Select, Ltd., its General Partner, By Ravi Mhatre,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9854" w:type="dxa"/>
        <w:jc w:val="left"/>
        <w:tblInd w:w="0" w:type="dxa"/>
        <w:tblLayout w:type="fixed"/>
        <w:tblCellMar>
          <w:top w:w="28" w:type="dxa"/>
          <w:left w:w="28" w:type="dxa"/>
          <w:bottom w:w="28" w:type="dxa"/>
          <w:right w:w="28" w:type="dxa"/>
        </w:tblCellMar>
      </w:tblPr>
      <w:tblGrid>
        <w:gridCol w:w="4927"/>
        <w:gridCol w:w="4927"/>
      </w:tblGrid>
      <w:tr>
        <w:trPr/>
        <w:tc>
          <w:tcPr>
            <w:tcW w:w="4927" w:type="dxa"/>
            <w:tcBorders/>
            <w:vAlign w:val="center"/>
          </w:tcPr>
          <w:p>
            <w:pPr>
              <w:pStyle w:val="TableContents"/>
              <w:bidi w:val="0"/>
              <w:spacing w:before="0" w:after="0"/>
              <w:jc w:val="left"/>
              <w:rPr/>
            </w:pPr>
            <w:r>
              <w:rPr/>
              <w:t> </w:t>
            </w:r>
          </w:p>
          <w:tbl>
            <w:tblPr>
              <w:tblW w:w="4771" w:type="dxa"/>
              <w:jc w:val="left"/>
              <w:tblInd w:w="0" w:type="dxa"/>
              <w:tblLayout w:type="fixed"/>
              <w:tblCellMar>
                <w:top w:w="28" w:type="dxa"/>
                <w:left w:w="28" w:type="dxa"/>
                <w:bottom w:w="28" w:type="dxa"/>
                <w:right w:w="28" w:type="dxa"/>
              </w:tblCellMar>
            </w:tblPr>
            <w:tblGrid>
              <w:gridCol w:w="4771"/>
            </w:tblGrid>
            <w:tr>
              <w:trPr/>
              <w:tc>
                <w:tcPr>
                  <w:tcW w:w="4771" w:type="dxa"/>
                  <w:tcBorders/>
                  <w:vAlign w:val="center"/>
                </w:tcPr>
                <w:p>
                  <w:pPr>
                    <w:pStyle w:val="TableContents"/>
                    <w:bidi w:val="0"/>
                    <w:spacing w:before="0" w:after="0"/>
                    <w:jc w:val="left"/>
                    <w:rPr/>
                  </w:pPr>
                  <w:r>
                    <w:rPr/>
                    <w:t>Lightspeed Ultimate General Partner Select, Ltd.</w:t>
                  </w:r>
                </w:p>
              </w:tc>
            </w:tr>
          </w:tbl>
          <w:p>
            <w:pPr>
              <w:pStyle w:val="TableContents"/>
              <w:bidi w:val="0"/>
              <w:spacing w:before="0" w:after="283"/>
              <w:jc w:val="left"/>
              <w:rPr/>
            </w:pPr>
            <w:r>
              <w:rPr/>
            </w:r>
          </w:p>
        </w:tc>
        <w:tc>
          <w:tcPr>
            <w:tcW w:w="4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Lightspeed Venture Partners Select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3</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Lightspeed General Partner Select II, L.P.</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Ravi Mhatre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Lightspeed Ultimate General Partner Select II, Ltd., its General Partner, By Ravi Mhatre,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0"/>
              <w:jc w:val="left"/>
              <w:rPr/>
            </w:pPr>
            <w:r>
              <w:rPr/>
              <w:t> </w:t>
            </w:r>
          </w:p>
          <w:tbl>
            <w:tblPr>
              <w:tblW w:w="4981" w:type="dxa"/>
              <w:jc w:val="left"/>
              <w:tblInd w:w="0" w:type="dxa"/>
              <w:tblLayout w:type="fixed"/>
              <w:tblCellMar>
                <w:top w:w="28" w:type="dxa"/>
                <w:left w:w="28" w:type="dxa"/>
                <w:bottom w:w="28" w:type="dxa"/>
                <w:right w:w="28" w:type="dxa"/>
              </w:tblCellMar>
            </w:tblPr>
            <w:tblGrid>
              <w:gridCol w:w="4981"/>
            </w:tblGrid>
            <w:tr>
              <w:trPr/>
              <w:tc>
                <w:tcPr>
                  <w:tcW w:w="4981" w:type="dxa"/>
                  <w:tcBorders/>
                  <w:vAlign w:val="center"/>
                </w:tcPr>
                <w:p>
                  <w:pPr>
                    <w:pStyle w:val="TableContents"/>
                    <w:bidi w:val="0"/>
                    <w:spacing w:before="0" w:after="0"/>
                    <w:jc w:val="left"/>
                    <w:rPr/>
                  </w:pPr>
                  <w:r>
                    <w:rPr/>
                    <w:t>Lightspeed Ultimate General Partner Select II, Ltd.</w:t>
                  </w:r>
                </w:p>
              </w:tc>
            </w:tr>
          </w:tbl>
          <w:p>
            <w:pPr>
              <w:pStyle w:val="TableContents"/>
              <w:bidi w:val="0"/>
              <w:spacing w:before="0" w:after="283"/>
              <w:jc w:val="left"/>
              <w:rPr/>
            </w:pPr>
            <w:r>
              <w:rPr/>
            </w:r>
          </w:p>
        </w:tc>
        <w:tc>
          <w:tcPr>
            <w:tcW w:w="50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Lightspeed SPV II, LLC</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Ravi Mhatre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LS SPV Management, LLC, its Manager, By Ravi Mhatre,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Lightspeed SPV II-B,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Ravi Mhatre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LS SPV Management, LLC, its Manager, By Ravi Mhatre,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LS SPV Management,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Ravi Mhatre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Ravi Mhatre,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Lightspeed Opportunity Fund, L.P.</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4</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7"/>
        <w:gridCol w:w="5088"/>
      </w:tblGrid>
      <w:tr>
        <w:trPr/>
        <w:tc>
          <w:tcPr>
            <w:tcW w:w="5117" w:type="dxa"/>
            <w:tcBorders/>
            <w:vAlign w:val="center"/>
          </w:tcPr>
          <w:p>
            <w:pPr>
              <w:pStyle w:val="TableContents"/>
              <w:bidi w:val="0"/>
              <w:spacing w:before="0" w:after="0"/>
              <w:jc w:val="left"/>
              <w:rPr/>
            </w:pPr>
            <w:r>
              <w:rPr/>
              <w:t> </w:t>
            </w:r>
          </w:p>
          <w:tbl>
            <w:tblPr>
              <w:tblW w:w="5056" w:type="dxa"/>
              <w:jc w:val="left"/>
              <w:tblInd w:w="0" w:type="dxa"/>
              <w:tblLayout w:type="fixed"/>
              <w:tblCellMar>
                <w:top w:w="28" w:type="dxa"/>
                <w:left w:w="28" w:type="dxa"/>
                <w:bottom w:w="28" w:type="dxa"/>
                <w:right w:w="28" w:type="dxa"/>
              </w:tblCellMar>
            </w:tblPr>
            <w:tblGrid>
              <w:gridCol w:w="5056"/>
            </w:tblGrid>
            <w:tr>
              <w:trPr/>
              <w:tc>
                <w:tcPr>
                  <w:tcW w:w="5056" w:type="dxa"/>
                  <w:tcBorders/>
                  <w:vAlign w:val="center"/>
                </w:tcPr>
                <w:p>
                  <w:pPr>
                    <w:pStyle w:val="TableContents"/>
                    <w:bidi w:val="0"/>
                    <w:spacing w:before="0" w:after="0"/>
                    <w:jc w:val="left"/>
                    <w:rPr/>
                  </w:pPr>
                  <w:r>
                    <w:rPr/>
                    <w:t>Lightspeed General Partner Opportunity Fund, L.P.</w:t>
                  </w:r>
                </w:p>
              </w:tc>
            </w:tr>
          </w:tbl>
          <w:p>
            <w:pPr>
              <w:pStyle w:val="TableContents"/>
              <w:bidi w:val="0"/>
              <w:spacing w:before="0" w:after="283"/>
              <w:jc w:val="left"/>
              <w:rPr/>
            </w:pPr>
            <w:r>
              <w:rPr/>
            </w:r>
          </w:p>
        </w:tc>
        <w:tc>
          <w:tcPr>
            <w:tcW w:w="50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Ravi Mhatre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Lightspeed Ultimate General Partner Opportunity Fund, Ltd., its General Partner, By Ravi Mhatre,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16"/>
        <w:gridCol w:w="4989"/>
      </w:tblGrid>
      <w:tr>
        <w:trPr/>
        <w:tc>
          <w:tcPr>
            <w:tcW w:w="5216" w:type="dxa"/>
            <w:tcBorders/>
            <w:vAlign w:val="center"/>
          </w:tcPr>
          <w:p>
            <w:pPr>
              <w:pStyle w:val="TableContents"/>
              <w:bidi w:val="0"/>
              <w:spacing w:before="0" w:after="0"/>
              <w:jc w:val="left"/>
              <w:rPr/>
            </w:pPr>
            <w:r>
              <w:rPr/>
              <w:t> </w:t>
            </w:r>
          </w:p>
          <w:tbl>
            <w:tblPr>
              <w:tblW w:w="5911" w:type="dxa"/>
              <w:jc w:val="left"/>
              <w:tblInd w:w="0" w:type="dxa"/>
              <w:tblLayout w:type="fixed"/>
              <w:tblCellMar>
                <w:top w:w="28" w:type="dxa"/>
                <w:left w:w="28" w:type="dxa"/>
                <w:bottom w:w="28" w:type="dxa"/>
                <w:right w:w="28" w:type="dxa"/>
              </w:tblCellMar>
            </w:tblPr>
            <w:tblGrid>
              <w:gridCol w:w="5911"/>
            </w:tblGrid>
            <w:tr>
              <w:trPr/>
              <w:tc>
                <w:tcPr>
                  <w:tcW w:w="5911" w:type="dxa"/>
                  <w:tcBorders/>
                  <w:vAlign w:val="center"/>
                </w:tcPr>
                <w:p>
                  <w:pPr>
                    <w:pStyle w:val="TableContents"/>
                    <w:bidi w:val="0"/>
                    <w:spacing w:before="0" w:after="0"/>
                    <w:jc w:val="left"/>
                    <w:rPr/>
                  </w:pPr>
                  <w:r>
                    <w:rPr/>
                    <w:t>Lightspeed Ultimate General Partner Opportunity Fund, Ltd.</w:t>
                  </w:r>
                </w:p>
              </w:tc>
            </w:tr>
          </w:tbl>
          <w:p>
            <w:pPr>
              <w:pStyle w:val="TableContents"/>
              <w:bidi w:val="0"/>
              <w:spacing w:before="0" w:after="283"/>
              <w:jc w:val="left"/>
              <w:rPr/>
            </w:pPr>
            <w:r>
              <w:rPr/>
            </w:r>
          </w:p>
        </w:tc>
        <w:tc>
          <w:tcPr>
            <w:tcW w:w="49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Lightspeed Venture Partners XII, L.P.</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5</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Lightspeed General Partner XII,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Ravi Mhatre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Lightspeed Ultimate General Partner XII, Ltd., its General Partner, By Ravi Mhatre,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9384" w:type="dxa"/>
        <w:jc w:val="left"/>
        <w:tblInd w:w="0" w:type="dxa"/>
        <w:tblLayout w:type="fixed"/>
        <w:tblCellMar>
          <w:top w:w="28" w:type="dxa"/>
          <w:left w:w="28" w:type="dxa"/>
          <w:bottom w:w="28" w:type="dxa"/>
          <w:right w:w="28" w:type="dxa"/>
        </w:tblCellMar>
      </w:tblPr>
      <w:tblGrid>
        <w:gridCol w:w="4692"/>
        <w:gridCol w:w="4692"/>
      </w:tblGrid>
      <w:tr>
        <w:trPr/>
        <w:tc>
          <w:tcPr>
            <w:tcW w:w="4692" w:type="dxa"/>
            <w:tcBorders/>
            <w:vAlign w:val="center"/>
          </w:tcPr>
          <w:p>
            <w:pPr>
              <w:pStyle w:val="TableContents"/>
              <w:bidi w:val="0"/>
              <w:spacing w:before="0" w:after="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0"/>
                    <w:jc w:val="left"/>
                    <w:rPr/>
                  </w:pPr>
                  <w:r>
                    <w:rPr/>
                    <w:t>Lightspeed Ultimate General Partner XII, Ltd.</w:t>
                  </w:r>
                </w:p>
              </w:tc>
            </w:tr>
          </w:tbl>
          <w:p>
            <w:pPr>
              <w:pStyle w:val="TableContents"/>
              <w:bidi w:val="0"/>
              <w:spacing w:before="0" w:after="283"/>
              <w:jc w:val="left"/>
              <w:rPr/>
            </w:pPr>
            <w:r>
              <w:rPr/>
            </w:r>
          </w:p>
        </w:tc>
        <w:tc>
          <w:tcPr>
            <w:tcW w:w="46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LSS Fund II, LLC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Ravi Mhatre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Lightspeed Scout Management, LLC, its Manager, By Ravi Mhatre,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Lightspeed Scout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Ravi Mhatre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Ravi Mhatre,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Note 1: By Lightspeed General Partner IX, L.P., its General Partner, By Lightspeed Ultimate General Partner IX, Ltd., its General Partner, By Ravi Mhatre, Director Note 2: By Lightspeed General Partner Select, L.P., its General Partner, By Lightspeed Ultimate General Partner Select, Ltd., its General Partner, By Ravi Mhatre, Director Note 3: By Lightspeed General Partner Select II, L.P., its General Partner, By Lightspeed Ultimate General Partner Select II, Ltd., its General Partner, By Ravi Mhatre, Director Note 4: By Lightspeed General Partner Opportunity Fund, L.P., its General Partner, By Lightspeed Ultimate General Partner Opportunity Fund, Ltd., its General Partner, By Ravi Mhatre, Director Note 5: By Lightspeed General Partner XII, L.P., its General Partner, By Lightspeed Ultimate General Partner XII, Ltd., its General Partner, By Ravi Mhatre, Director</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 xml:space="preserve">Exhibit 99.1 Joint Filing Agreement </w:t>
            </w:r>
          </w:p>
        </w:tc>
      </w:tr>
    </w:tbl>
    <w:p>
      <w:pPr>
        <w:pStyle w:val="TextBody"/>
        <w:bidi w:val="0"/>
        <w:spacing w:before="0" w:after="0"/>
        <w:ind w:left="0" w:right="0" w:hanging="0"/>
        <w:jc w:val="center"/>
        <w:rPr/>
      </w:pPr>
      <w:bookmarkStart w:id="92" w:name="ex-99-08142026_080825.htm"/>
      <w:bookmarkStart w:id="93" w:name="ksex9908142026_080825"/>
      <w:bookmarkEnd w:id="92"/>
      <w:bookmarkEnd w:id="93"/>
      <w:r>
        <w:rPr/>
        <w:t>EXHIBIT 99.1</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JOINT FILING AGREEMENT</w:t>
      </w:r>
    </w:p>
    <w:p>
      <w:pPr>
        <w:pStyle w:val="TextBody"/>
        <w:bidi w:val="0"/>
        <w:spacing w:before="0" w:after="0"/>
        <w:ind w:left="0" w:right="0" w:hanging="0"/>
        <w:jc w:val="center"/>
        <w:rPr/>
      </w:pPr>
      <w:r>
        <w:rPr/>
      </w:r>
    </w:p>
    <w:p>
      <w:pPr>
        <w:pStyle w:val="TextBody"/>
        <w:bidi w:val="0"/>
        <w:spacing w:before="0" w:after="0"/>
        <w:ind w:left="0" w:right="0" w:hanging="0"/>
        <w:jc w:val="left"/>
        <w:rPr/>
      </w:pPr>
      <w:r>
        <w:rPr/>
        <w:t>We, the undersigned, hereby express our agreement that the attached Schedule 13G (or any amendments thereto) relating to the Class A common stock of Netskope, Inc. on behalf of each of us.</w:t>
      </w:r>
    </w:p>
    <w:p>
      <w:pPr>
        <w:pStyle w:val="TextBody"/>
        <w:bidi w:val="0"/>
        <w:spacing w:before="0" w:after="0"/>
        <w:ind w:left="0" w:right="0" w:hanging="0"/>
        <w:jc w:val="left"/>
        <w:rPr/>
      </w:pPr>
      <w:r>
        <w:rPr/>
      </w:r>
    </w:p>
    <w:p>
      <w:pPr>
        <w:pStyle w:val="TextBody"/>
        <w:bidi w:val="0"/>
        <w:spacing w:before="0" w:after="0"/>
        <w:ind w:left="0" w:right="0" w:hanging="0"/>
        <w:jc w:val="left"/>
        <w:rPr/>
      </w:pPr>
      <w:r>
        <w:rPr/>
        <w:t>Dated:  August 14, 2026</w:t>
      </w:r>
    </w:p>
    <w:p>
      <w:pPr>
        <w:pStyle w:val="TextBody"/>
        <w:bidi w:val="0"/>
        <w:spacing w:before="0" w:after="0"/>
        <w:ind w:left="0" w:right="0" w:hanging="0"/>
        <w:jc w:val="left"/>
        <w:rPr/>
      </w:pPr>
      <w:r>
        <w:rPr/>
      </w:r>
    </w:p>
    <w:tbl>
      <w:tblPr>
        <w:tblW w:w="10080" w:type="dxa"/>
        <w:jc w:val="center"/>
        <w:tblInd w:w="0" w:type="dxa"/>
        <w:tblLayout w:type="fixed"/>
        <w:tblCellMar>
          <w:top w:w="0" w:type="dxa"/>
          <w:left w:w="0" w:type="dxa"/>
          <w:bottom w:w="0" w:type="dxa"/>
          <w:right w:w="0" w:type="dxa"/>
        </w:tblCellMar>
      </w:tblPr>
      <w:tblGrid>
        <w:gridCol w:w="5040"/>
        <w:gridCol w:w="5040"/>
      </w:tblGrid>
      <w:tr>
        <w:trPr/>
        <w:tc>
          <w:tcPr>
            <w:tcW w:w="5040" w:type="dxa"/>
            <w:tcBorders/>
            <w:vAlign w:val="center"/>
          </w:tcPr>
          <w:p>
            <w:pPr>
              <w:pStyle w:val="TableContents"/>
              <w:bidi w:val="0"/>
              <w:spacing w:before="0" w:after="283"/>
              <w:jc w:val="left"/>
              <w:rPr>
                <w:sz w:val="4"/>
                <w:szCs w:val="4"/>
              </w:rPr>
            </w:pPr>
            <w:r>
              <w:rPr>
                <w:sz w:val="4"/>
                <w:szCs w:val="4"/>
              </w:rPr>
            </w:r>
          </w:p>
        </w:tc>
        <w:tc>
          <w:tcPr>
            <w:tcW w:w="5040" w:type="dxa"/>
            <w:tcBorders/>
            <w:vAlign w:val="center"/>
          </w:tcPr>
          <w:p>
            <w:pPr>
              <w:pStyle w:val="TableContents"/>
              <w:bidi w:val="0"/>
              <w:spacing w:before="0" w:after="283"/>
              <w:jc w:val="left"/>
              <w:rPr>
                <w:sz w:val="4"/>
                <w:szCs w:val="4"/>
              </w:rPr>
            </w:pPr>
            <w:r>
              <w:rPr>
                <w:sz w:val="4"/>
                <w:szCs w:val="4"/>
              </w:rPr>
            </w:r>
          </w:p>
        </w:tc>
      </w:tr>
      <w:tr>
        <w:trPr/>
        <w:tc>
          <w:tcPr>
            <w:tcW w:w="5040" w:type="dxa"/>
            <w:tcBorders/>
          </w:tcPr>
          <w:p>
            <w:pPr>
              <w:pStyle w:val="TableContents"/>
              <w:bidi w:val="0"/>
              <w:spacing w:before="0" w:after="0"/>
              <w:ind w:left="0" w:right="0" w:hanging="0"/>
              <w:jc w:val="left"/>
              <w:rPr>
                <w:b/>
              </w:rPr>
            </w:pPr>
            <w:r>
              <w:rPr>
                <w:b/>
              </w:rPr>
              <w:t>Lightspeed Venture Partners IX,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General Partner IX, L.P.</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228600" cy="175260"/>
                      <wp:effectExtent l="0" t="0" r="0" b="0"/>
                      <wp:wrapSquare wrapText="right"/>
                      <wp:docPr id="75"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228600" cy="175260"/>
                      <wp:effectExtent l="0" t="0" r="0" b="0"/>
                      <wp:wrapSquare wrapText="right"/>
                      <wp:docPr id="76"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Ultimate General Partner IX, Ltd.</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228600" cy="175260"/>
                      <wp:effectExtent l="0" t="0" r="0" b="0"/>
                      <wp:wrapSquare wrapText="right"/>
                      <wp:docPr id="77"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28600" cy="175260"/>
                      <wp:effectExtent l="0" t="0" r="0" b="0"/>
                      <wp:wrapSquare wrapText="right"/>
                      <wp:docPr id="78"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228600" cy="175260"/>
                      <wp:effectExtent l="0" t="0" r="0" b="0"/>
                      <wp:wrapSquare wrapText="right"/>
                      <wp:docPr id="79"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General Partner IX,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Ultimate General Partner IX, Ltd.</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228600" cy="175260"/>
                      <wp:effectExtent l="0" t="0" r="0" b="0"/>
                      <wp:wrapSquare wrapText="right"/>
                      <wp:docPr id="80"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228600" cy="175260"/>
                      <wp:effectExtent l="0" t="0" r="0" b="0"/>
                      <wp:wrapSquare wrapText="right"/>
                      <wp:docPr id="81"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228600" cy="175260"/>
                      <wp:effectExtent l="0" t="0" r="0" b="0"/>
                      <wp:wrapSquare wrapText="right"/>
                      <wp:docPr id="82"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Ultimate General Partner IX, Ltd.</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228600" cy="175260"/>
                      <wp:effectExtent l="0" t="0" r="0" b="0"/>
                      <wp:wrapSquare wrapText="right"/>
                      <wp:docPr id="83"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Opportunity Fund,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General Partner Opportunity Fund, L.P.</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285750" cy="175260"/>
                      <wp:effectExtent l="0" t="0" r="0" b="0"/>
                      <wp:wrapSquare wrapText="right"/>
                      <wp:docPr id="84" name="Frame10"/>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hanging="30"/>
              <w:jc w:val="left"/>
              <w:rPr/>
            </w:pPr>
            <w:r>
              <w:rPr/>
              <w:t xml:space="preserve">General Partner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285750" cy="175260"/>
                      <wp:effectExtent l="0" t="0" r="0" b="0"/>
                      <wp:wrapSquare wrapText="right"/>
                      <wp:docPr id="85" name="Frame1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its </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pBdr/>
              <w:bidi w:val="0"/>
              <w:spacing w:before="0" w:after="0"/>
              <w:ind w:left="0" w:right="0" w:hanging="30"/>
              <w:jc w:val="left"/>
              <w:rPr/>
            </w:pPr>
            <w:r>
              <w:rPr/>
              <w:t>Lightspeed Ultimate General Partner Opportunity Fund, Ltd.</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266700" cy="175260"/>
                      <wp:effectExtent l="0" t="0" r="0" b="0"/>
                      <wp:wrapSquare wrapText="right"/>
                      <wp:docPr id="86" name="Frame12"/>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hanging="30"/>
              <w:jc w:val="left"/>
              <w:rPr/>
            </w:pPr>
            <w:r>
              <w:rPr/>
              <w:t xml:space="preserve">General Partner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285750" cy="175260"/>
                      <wp:effectExtent l="0" t="0" r="0" b="0"/>
                      <wp:wrapSquare wrapText="right"/>
                      <wp:docPr id="87" name="Frame13"/>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its </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285750" cy="175260"/>
                      <wp:effectExtent l="0" t="0" r="0" b="0"/>
                      <wp:wrapSquare wrapText="right"/>
                      <wp:docPr id="88" name="Frame14"/>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450"/>
              <w:jc w:val="left"/>
              <w:rPr/>
            </w:pPr>
            <w:r>
              <w:rPr/>
              <w:t>Name: Ravi Mhatre</w:t>
            </w:r>
          </w:p>
          <w:p>
            <w:pPr>
              <w:pStyle w:val="TableContents"/>
              <w:bidi w:val="0"/>
              <w:spacing w:before="0" w:after="0"/>
              <w:ind w:left="0" w:right="0" w:firstLine="45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General Partner Opportunity Fund,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Ultimate General Partner Opportunity Fund, Ltd.</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85750" cy="175260"/>
                      <wp:effectExtent l="0" t="0" r="0" b="0"/>
                      <wp:wrapSquare wrapText="right"/>
                      <wp:docPr id="89" name="Frame15"/>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hanging="30"/>
              <w:jc w:val="left"/>
              <w:rPr/>
            </w:pPr>
            <w:r>
              <w:rPr/>
              <w:t xml:space="preserve">General Partner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85750" cy="175260"/>
                      <wp:effectExtent l="0" t="0" r="0" b="0"/>
                      <wp:wrapSquare wrapText="right"/>
                      <wp:docPr id="90" name="Frame16"/>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its </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285750" cy="175260"/>
                      <wp:effectExtent l="0" t="0" r="0" b="0"/>
                      <wp:wrapSquare wrapText="right"/>
                      <wp:docPr id="91" name="Frame1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720"/>
              <w:jc w:val="left"/>
              <w:rPr/>
            </w:pPr>
            <w:r>
              <w:rPr/>
              <w:t>Name: Ravi Mhatre</w:t>
            </w:r>
          </w:p>
          <w:p>
            <w:pPr>
              <w:pStyle w:val="TableContents"/>
              <w:bidi w:val="0"/>
              <w:spacing w:before="0" w:after="0"/>
              <w:ind w:left="0" w:right="0" w:firstLine="720"/>
              <w:jc w:val="left"/>
              <w:rPr/>
            </w:pPr>
            <w:r>
              <w:rPr/>
              <w:t>Title: Director</w:t>
            </w:r>
          </w:p>
          <w:p>
            <w:pPr>
              <w:pStyle w:val="TableContents"/>
              <w:bidi w:val="0"/>
              <w:spacing w:before="0" w:after="0"/>
              <w:ind w:left="0" w:right="0" w:hanging="0"/>
              <w:jc w:val="left"/>
              <w:rPr/>
            </w:pPr>
            <w:r>
              <w:rPr/>
            </w:r>
          </w:p>
        </w:tc>
        <w:tc>
          <w:tcPr>
            <w:tcW w:w="5040" w:type="dxa"/>
            <w:tcBorders/>
          </w:tcPr>
          <w:p>
            <w:pPr>
              <w:pStyle w:val="TableContents"/>
              <w:bidi w:val="0"/>
              <w:spacing w:before="0" w:after="0"/>
              <w:ind w:left="0" w:right="0" w:hanging="0"/>
              <w:jc w:val="left"/>
              <w:rPr>
                <w:b/>
              </w:rPr>
            </w:pPr>
            <w:r>
              <w:rPr>
                <w:b/>
              </w:rPr>
              <w:t>Lightspeed Venture Partners XII,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General Partner XII, L.P.</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228600" cy="175260"/>
                      <wp:effectExtent l="0" t="0" r="0" b="0"/>
                      <wp:wrapSquare wrapText="right"/>
                      <wp:docPr id="92"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28600" cy="175260"/>
                      <wp:effectExtent l="0" t="0" r="0" b="0"/>
                      <wp:wrapSquare wrapText="right"/>
                      <wp:docPr id="93"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Ultimate General Partner XII, Ltd.</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28600" cy="175260"/>
                      <wp:effectExtent l="0" t="0" r="0" b="0"/>
                      <wp:wrapSquare wrapText="right"/>
                      <wp:docPr id="94"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228600" cy="175260"/>
                      <wp:effectExtent l="0" t="0" r="0" b="0"/>
                      <wp:wrapSquare wrapText="right"/>
                      <wp:docPr id="95"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228600" cy="175260"/>
                      <wp:effectExtent l="0" t="0" r="0" b="0"/>
                      <wp:wrapSquare wrapText="right"/>
                      <wp:docPr id="96"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General Partner XII,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Ultimate General Partner XII, Ltd.</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228600" cy="175260"/>
                      <wp:effectExtent l="0" t="0" r="0" b="0"/>
                      <wp:wrapSquare wrapText="right"/>
                      <wp:docPr id="97"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228600" cy="175260"/>
                      <wp:effectExtent l="0" t="0" r="0" b="0"/>
                      <wp:wrapSquare wrapText="right"/>
                      <wp:docPr id="98"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228600" cy="175260"/>
                      <wp:effectExtent l="0" t="0" r="0" b="0"/>
                      <wp:wrapSquare wrapText="right"/>
                      <wp:docPr id="99"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Ultimate General Partner XII, Ltd.</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228600" cy="175260"/>
                      <wp:effectExtent l="0" t="0" r="0" b="0"/>
                      <wp:wrapSquare wrapText="right"/>
                      <wp:docPr id="100"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Ultimate General Partner Opportunity Fund, Ltd.</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285750" cy="175260"/>
                      <wp:effectExtent l="0" t="0" r="0" b="0"/>
                      <wp:wrapSquare wrapText="right"/>
                      <wp:docPr id="101" name="Frame2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720"/>
              <w:jc w:val="left"/>
              <w:rPr/>
            </w:pPr>
            <w:r>
              <w:rPr/>
              <w:t>Name: Ravi Mhatre</w:t>
            </w:r>
          </w:p>
          <w:p>
            <w:pPr>
              <w:pStyle w:val="TableContents"/>
              <w:bidi w:val="0"/>
              <w:spacing w:before="0" w:after="0"/>
              <w:ind w:left="0" w:right="0" w:firstLine="72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SPV II, LLC</w:t>
            </w:r>
          </w:p>
          <w:p>
            <w:pPr>
              <w:pStyle w:val="TableContents"/>
              <w:bidi w:val="0"/>
              <w:spacing w:before="0" w:after="0"/>
              <w:ind w:left="0" w:right="0" w:hanging="0"/>
              <w:jc w:val="left"/>
              <w:rPr>
                <w:b/>
              </w:rPr>
            </w:pPr>
            <w:r>
              <w:rPr>
                <w:b/>
              </w:rPr>
              <w:t>Lightspeed SPV II-B, LLC</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LS SPV Management, LLC</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228600" cy="175260"/>
                      <wp:effectExtent l="0" t="0" r="0" b="0"/>
                      <wp:wrapSquare wrapText="right"/>
                      <wp:docPr id="102"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228600" cy="175260"/>
                      <wp:effectExtent l="0" t="0" r="0" b="0"/>
                      <wp:wrapSquare wrapText="right"/>
                      <wp:docPr id="103"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228600" cy="175260"/>
                      <wp:effectExtent l="0" t="0" r="0" b="0"/>
                      <wp:wrapSquare wrapText="right"/>
                      <wp:docPr id="104"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Managing Member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LS SPV Management,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228600" cy="175260"/>
                      <wp:effectExtent l="0" t="0" r="0" b="0"/>
                      <wp:wrapSquare wrapText="right"/>
                      <wp:docPr id="105"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Managing Member</w:t>
            </w:r>
          </w:p>
          <w:p>
            <w:pPr>
              <w:pStyle w:val="TableContents"/>
              <w:bidi w:val="0"/>
              <w:spacing w:before="0" w:after="0"/>
              <w:ind w:left="0" w:right="0" w:hanging="0"/>
              <w:jc w:val="left"/>
              <w:rPr/>
            </w:pPr>
            <w:r>
              <w:rPr/>
            </w:r>
          </w:p>
        </w:tc>
      </w:tr>
      <w:tr>
        <w:trPr/>
        <w:tc>
          <w:tcPr>
            <w:tcW w:w="5040" w:type="dxa"/>
            <w:tcBorders/>
          </w:tcPr>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Venture Partners Select,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General Partner Select, L.P.</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228600" cy="175260"/>
                      <wp:effectExtent l="0" t="0" r="0" b="0"/>
                      <wp:wrapSquare wrapText="right"/>
                      <wp:docPr id="106"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228600" cy="175260"/>
                      <wp:effectExtent l="0" t="0" r="0" b="0"/>
                      <wp:wrapSquare wrapText="right"/>
                      <wp:docPr id="107"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Ultimate General Partner Select, Ltd.</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228600" cy="175260"/>
                      <wp:effectExtent l="0" t="0" r="0" b="0"/>
                      <wp:wrapSquare wrapText="right"/>
                      <wp:docPr id="108" name="Frame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228600" cy="175260"/>
                      <wp:effectExtent l="0" t="0" r="0" b="0"/>
                      <wp:wrapSquare wrapText="right"/>
                      <wp:docPr id="109" name="Frame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228600" cy="175260"/>
                      <wp:effectExtent l="0" t="0" r="0" b="0"/>
                      <wp:wrapSquare wrapText="right"/>
                      <wp:docPr id="110" name="Frame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General Partner Select,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Ultimate General Partner Select, Ltd.</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228600" cy="175260"/>
                      <wp:effectExtent l="0" t="0" r="0" b="0"/>
                      <wp:wrapSquare wrapText="right"/>
                      <wp:docPr id="111"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228600" cy="175260"/>
                      <wp:effectExtent l="0" t="0" r="0" b="0"/>
                      <wp:wrapSquare wrapText="right"/>
                      <wp:docPr id="112" name="Frame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228600" cy="175260"/>
                      <wp:effectExtent l="0" t="0" r="0" b="0"/>
                      <wp:wrapSquare wrapText="right"/>
                      <wp:docPr id="113" name="Frame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Ultimate General Partner Select, Ltd.</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228600" cy="175260"/>
                      <wp:effectExtent l="0" t="0" r="0" b="0"/>
                      <wp:wrapSquare wrapText="right"/>
                      <wp:docPr id="114" name="Frame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LSS Fund II, LLC</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Scout Management, LLC</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228600" cy="175260"/>
                      <wp:effectExtent l="0" t="0" r="0" b="0"/>
                      <wp:wrapSquare wrapText="right"/>
                      <wp:docPr id="115" name="Frame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228600" cy="175260"/>
                      <wp:effectExtent l="0" t="0" r="0" b="0"/>
                      <wp:wrapSquare wrapText="right"/>
                      <wp:docPr id="116" name="Frame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28600" cy="175260"/>
                      <wp:effectExtent l="0" t="0" r="0" b="0"/>
                      <wp:wrapSquare wrapText="right"/>
                      <wp:docPr id="117" name="Frame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Managing Member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Scout Management,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228600" cy="175260"/>
                      <wp:effectExtent l="0" t="0" r="0" b="0"/>
                      <wp:wrapSquare wrapText="right"/>
                      <wp:docPr id="118" name="Frame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Managing Member</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5040" w:type="dxa"/>
            <w:tcBorders/>
          </w:tcPr>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Venture Partners Select 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General Partner Select II, L.P.</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228600" cy="175260"/>
                      <wp:effectExtent l="0" t="0" r="0" b="0"/>
                      <wp:wrapSquare wrapText="right"/>
                      <wp:docPr id="119" name="Frame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228600" cy="175260"/>
                      <wp:effectExtent l="0" t="0" r="0" b="0"/>
                      <wp:wrapSquare wrapText="right"/>
                      <wp:docPr id="120" name="Frame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Ultimate General Partner Select II, Ltd.</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228600" cy="175260"/>
                      <wp:effectExtent l="0" t="0" r="0" b="0"/>
                      <wp:wrapSquare wrapText="right"/>
                      <wp:docPr id="121" name="Frame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228600" cy="175260"/>
                      <wp:effectExtent l="0" t="0" r="0" b="0"/>
                      <wp:wrapSquare wrapText="right"/>
                      <wp:docPr id="122" name="Frame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228600" cy="175260"/>
                      <wp:effectExtent l="0" t="0" r="0" b="0"/>
                      <wp:wrapSquare wrapText="right"/>
                      <wp:docPr id="123" name="Frame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General Partner Select 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Lightspeed Ultimate General Partner Select II, Ltd.</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228600" cy="175260"/>
                      <wp:effectExtent l="0" t="0" r="0" b="0"/>
                      <wp:wrapSquare wrapText="right"/>
                      <wp:docPr id="124" name="Frame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228600" cy="175260"/>
                      <wp:effectExtent l="0" t="0" r="0" b="0"/>
                      <wp:wrapSquare wrapText="right"/>
                      <wp:docPr id="125" name="Frame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28600" cy="175260"/>
                      <wp:effectExtent l="0" t="0" r="0" b="0"/>
                      <wp:wrapSquare wrapText="right"/>
                      <wp:docPr id="126" name="Frame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Lightspeed Ultimate General Partner Select II, Ltd.</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Ravi Mhatre</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228600" cy="175260"/>
                      <wp:effectExtent l="0" t="0" r="0" b="0"/>
                      <wp:wrapSquare wrapText="right"/>
                      <wp:docPr id="127" name="Frame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360"/>
              <w:jc w:val="left"/>
              <w:rPr/>
            </w:pPr>
            <w:r>
              <w:rPr/>
              <w:t>Name: Ravi Mhatre</w:t>
            </w:r>
          </w:p>
          <w:p>
            <w:pPr>
              <w:pStyle w:val="TableContents"/>
              <w:bidi w:val="0"/>
              <w:spacing w:before="0" w:after="0"/>
              <w:ind w:left="0" w:right="0" w:firstLine="360"/>
              <w:jc w:val="left"/>
              <w:rPr/>
            </w:pPr>
            <w:r>
              <w:rPr/>
              <w:t>Title: Director</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5581</Words>
  <Characters>29774</Characters>
  <CharactersWithSpaces>34811</CharactersWithSpaces>
  <Paragraphs>1226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